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and Adjustments. For discussion only and subject to Seller approval, the proposed enterprise value is USD 42,000,000, on a cash-free, debt-free basis with a normalized level of working capital. The equity purchase price shall equal that amount plus unrestricted Company cash acquired at Closing, less Company indebtedness outstanding at Closing and unpaid Company transaction expenses, plus or minus the amount by which Closing working capital exceeds or falls below an agreed normalized working-capital target. Definitions, permitted cash distributions, debt-like items, transaction expenses and the target shall be agreed in schedules before signing. Working capital shall exclude cash, indebtedness, transaction expenses and other items separately accounted for in the price; no item shall be counted twice. The target shall reflect agreed historical normalization and seasonality. The schedules shall specify accounting policies and an illustrative calculation, with agreed specific policies taking priority over consistently applied historical practices and then the agreed applicable accounting standards. No purchase-accounting adjustments or changes arising solely from Buyer's ownership shall affect the calculation. Seller shall deliver a good-faith estimated completion statement at least five business days before Closing, and the estimated equity price shall be paid at Closing, subject to agreed debt repayments and escrow funding. Buyer shall deliver completion accounts and its final calculation within 60 days after Closing. Seller shall have 30 days after receipt, with reasonable access to relevant records and personnel, to notify specific disputed items; undisputed items shall become final. The parties shall seek to resolve disputes for 20 business days, after which unresolved accounting items shall be referred to an independent accountant jointly appointed under an appointment mechanism agreed before signing. The accountant shall act as expert, not arbitrator, determine only disputed accounting items within the parties' submitted positions, and apply the agreed policies. Its determination shall be final absent manifest error; legal interpretation disputes remain subject to the Agreement's dispute-resolution provisions. Expert costs shall be allocated in proportion to each party's lack of success. Any resulting balancing payment shall be made within five business days after final determination.</w:t>
      </w:r>
    </w:p>
    <w:p>
      <w:r>
        <w:t>2. Closing and Conditions. Closing shall take place on the fifth business day after satisfaction or, where legally permissible, waiver by the party entitled to the benefit of the agreed conditions, other than conditions to be satisfied at Closing, which must then be satisfied or waived. The proposed outside date is 90 days after signing, subject to agreement following assessment of required approvals; any extension shall require written agreement. Neither party may terminate for failure to close by that date if its material breach principally caused that failure. The parties shall cooperate and use agreed reasonable efforts to obtain required regulatory approvals and specifically scheduled material contractual consents. Closing conditions shall include receipt of those approvals and consents; absence of any legal restraint prohibiting Closing; accuracy of fundamental representations in all material respects and of other representations except for inaccuracies that would not, individually or collectively, constitute a Material Adverse Effect, without duplicating materiality qualifiers; material compliance with pre-Closing covenants; and no Material Adverse Effect since signing. These conditions shall apply reciprocally where appropriate. Material Adverse Effect shall mean a material adverse effect on the business, assets, financial condition or results of operations of the Company taken as a whole, excluding general economic, market or industry conditions, changes in law or accounting standards, war, pandemics, and effects of the transaction's announcement, with a disproportionate-impact exception for the general external-event exclusions and customary qualifications to be agreed. Failure to meet projections alone shall not constitute a Material Adverse Effect, without excluding otherwise qualifying underlying causes. Buyer’s satisfactory diligence and final internal approval are proposed as prerequisites to signing, not discretionary post-signing closing conditions. If any diligence must remain outstanding after signing, its scope, objective completion criteria and a short, fixed deadline must be expressly agreed. Seller shall facilitate prompt diligence access subject to confidentiality, privilege, applicable law and reasonable protection of business operations. Closing deliverables shall include duly executed share transfers, share certificates or agreed substitutes, corporate authorizations, agreed officer certificates, required consents, releases of agreed security interests, evidence of agreed debt repayments, requested agreed director resignations, the executed escrow agreement and payment of the Closing consideration. The definitive agreement shall address termination rights and consequences, preserving liability for antecedent breach.</w:t>
      </w:r>
    </w:p>
    <w:p>
      <w:r>
        <w:t>3. Representations, Interim Covenants and Liability Framework. Subject to agreed disclosure schedules and specifically negotiated materiality and knowledge qualifications, Seller shall give representations covering: ownership of and good title to the Shares, free of encumbrances other than agreed restrictions; capacity, authority and due execution; the Company's organization and capitalization, including outstanding equity rights; financial statements and absence of undisclosed liabilities other than disclosed, reserved or ordinary-course liabilities; tax filings, payments and disputes; material contracts and material defaults; material litigation and investigations; employment, benefits and labor matters; ownership or valid use of material intellectual property and known infringement matters; and compliance with applicable laws. Buyer shall give customary representations as to organization, authority, enforceability and availability of funds, with no financing condition. The financial statements shall fairly present, in all material respects, the Company's financial position and results of operations for the dates and periods covered in accordance with the accounting standards expressly identified in the financial-statement schedule and consistently applied throughout those periods, except as specifically disclosed. The proposed standard is US GAAP, subject to confirmation against the Company's actual reporting framework before signing. Unaudited statements may omit footnotes and remain subject only to normal year-end adjustments that are not material individually or in the aggregate.</w:t>
        <w:br/>
        <w:br/>
        <w:t>Between signing and Closing, Seller shall cause the Company to operate in the ordinary course in all material respects and use commercially reasonable efforts to preserve its business and material relationships. Except as disclosed, required by law or expressly permitted by the Agreement, Buyer’s prior written consent, not to be unreasonably withheld, conditioned or delayed, shall be required for material acquisitions or disposals, new material indebtedness, equity issuances, extraordinary distributions, material changes to compensation or benefits, material contract changes outside the ordinary course, and material changes in accounting or tax practices. Agreed monetary thresholds and emergency exceptions shall be scheduled. Buyer shall not control the Company before Closing.</w:t>
        <w:br/>
        <w:br/>
        <w:t>The definitive agreement shall include negotiated indemnification for breaches of representations and covenants and specified pre-Closing tax liabilities, together with appropriate reciprocal Buyer obligations. General-claim survival, de minimis thresholds, basket, aggregate cap, separate treatment of fundamental and tax claims, and any specific indemnities remain subject to Seller approval and express agreement before signing. An agreed portion of the equity purchase price shall be held by an independent escrow agent as security for covered claims; the amount, duration, permitted recourse and release mechanics remain open and are not agreed by this draft. Except for specifically agreed exceptions, the escrow is proposed as Buyer's exclusive source of recovery for general representation claims. The liability provisions shall prohibit double recovery, including for matters reflected in price adjustments, require reasonable mitigation, account for actual net insurance and third-party recoveries, provide notice and defense procedures for third-party claims, and release escrow at expiry except for reasonably quantified pending claims. Treatment of actual fraud and remedies that cannot lawfully be excluded shall be expressly addressed.</w:t>
      </w:r>
    </w:p>
    <w:p>
      <w:r>
        <w:t>4. Confidentiality. Each party shall keep confidential the existence, status and substance of transaction discussions, the terms of this Agreement and all nonpublic information received in connection with negotiations or diligence, and shall use that information solely to evaluate, negotiate, finance and implement the proposed transaction. These obligations do not apply to information the receiving party can demonstrate is public other than through a breach of confidentiality, was lawfully known to it without restriction before disclosure, is lawfully obtained from a third party not known to be subject to a duty prohibiting disclosure, or is independently developed without use of the confidential information. Disclosure may be made to professional advisers, financing sources and other representatives with a need to know who are bound by confidentiality obligations or professional duties, with the receiving party responsible for their compliance, or as required by applicable law, regulation or court order. Where legally permitted, a party making a required disclosure shall give reasonable advance notice, reasonably cooperate in seeking protective treatment and disclose only what is required. Neither party shall make a public announcement without the other party's prior written consent, except as legally required. If discussions terminate, confidential materials shall on request be returned or destroyed, subject to legally required retention and routine archival backups, which remain protected. Any existing confidentiality agreement remains effective; the definitive agreement shall specify its relationship with this clause. This discussion draft does not itself replace or create a binding confidentiality agreement.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