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Payment. Subject to contract and Seller approval, the Seller proposes USD 45,000,000 as the base equity purchase price for the Shares on a cash-free, debt-free basis with a normalized level of working capital. The Purchase Price shall equal that amount plus agreed Cash, less agreed Debt and unpaid Transaction Expenses, and plus or minus the amount by which Closing Working Capital exceeds or falls below the agreed normalized working-capital target. The parties shall agree definitions, an illustrative calculation, the target, accounting policies and exclusions before signing. No item shall be counted more than once, including across adjustments, leakage recovery and indemnification. Seller shall deliver an estimated closing statement at least five Business Days before Closing. At Closing, Buyer shall pay the estimated Purchase Price, less the agreed indemnity escrow, by wire transfer of immediately available funds to Seller’s designated account, and deposit the escrow with an independent escrow agent under an agreed escrow agreement. Agreed debt and expense payments shall be made to the relevant payees in accordance with the funds flow, without further deduction where already reflected in the Purchase Price. Buyer shall deliver a final closing statement within 60 days after Closing; Seller shall have 30 days to object, with reasonable access to supporting records and personnel. Unresolved accounting disputes shall be referred after a further 20 days to an independent accountant acting as expert within the scope of disputed items, under procedures and cost allocation agreed before signing. Any resulting adjustment shall be paid within five Business Days after final determination. Except for these adjustments and recourse to the escrow expressly permitted by this Agreement and the escrow agreement, Buyer shall have no right of unilateral set-off or withholding.</w:t>
      </w:r>
    </w:p>
    <w:p>
      <w:r>
        <w:t>2. Signing, Closing and Termination. Buyer shall complete its legal, financial, tax and commercial diligence to its satisfaction before executing the definitive Agreement; no general diligence condition or discretionary diligence termination right shall apply after signing. The parties shall target Closing within 30 days after signing, subject to satisfaction or lawful waiver by the benefiting party of the applicable conditions. Closing shall occur within five Business Days after satisfaction or waiver of those conditions, other than conditions to be satisfied at Closing. Conditions shall include specified necessary regulatory and third-party approvals; absence of any injunction or law prohibiting Closing; delivery of clear title to the Shares and agreed releases of liens; accuracy of fundamental representations in all material respects and other representations subject to an agreed materiality standard; material performance of pre-Closing covenants; and absence of a Material Adverse Effect. Fundamental representations, applicable testing dates and the Material Adverse Effect definition shall be agreed before signing. The latter shall exclude general economic, market and industry changes, changes in law or accounting standards, and effects of announcement or agreed actions, with an agreed disproportionate-impact exception where appropriate. No financing condition is proposed. Buyer’s authority, enforceability and ability-to-pay representations and material covenant performance shall also be conditions for Seller’s benefit. Each party shall use reasonable best efforts to obtain approvals and satisfy its conditions, subject to agreed limits on required remedies, and shall not rely on a failure it caused by breach. At Closing, the parties shall exchange the agreed funds flow, executed share transfers and certificates or equivalent evidence of title, required corporate approvals, lien releases and payoff letters, escrow documentation, agreed officer certificates, statutory records and agreed director resignations without releases of substantive claims. The complete deliverables list shall be settled before signing. Before Closing, this Agreement may be terminated by mutual written consent, by either party for a final nonappealable legal prohibition, or by a nonbreaching party for the other party’s material breach preventing satisfaction of a closing condition and remaining uncured after 15 Business Days’ written notice. Either party may terminate if Closing has not occurred by the outside date to be agreed before signing, unless its breach principally caused the failure. Termination shall preserve confidentiality and accrued claims for pretermination breach; other consequences and any extension for pending approvals shall be agreed before signing.</w:t>
      </w:r>
    </w:p>
    <w:p>
      <w:r>
        <w:t>3. Representations, Interim Covenants and Remedies. The definitive Agreement shall contain customary, transaction-specific Seller representations concerning: capacity, authority, enforceability and absence of conflicts; ownership and clear title to the Shares; capitalization and absence of undisclosed options or other equity rights; organization of the target; financial statements prepared under the agreed accounting standards and fairly presenting its financial position and results, subject to agreed qualifications for interim statements; undisclosed liabilities; taxes; material contracts and defaults; litigation; compliance with applicable law and material permits; employment and benefits; and ownership or rights to use material intellectual property and infringement claims. These provisions shall be subject to disclosure schedules delivered before signing and negotiated knowledge, materiality, temporal and other qualifications. Matters fairly disclosed with sufficient detail to identify their nature and scope shall qualify the relevant representations; cross-disclosure shall apply only where its relevance is reasonably apparent. Buyer shall give customary representations concerning its organization, authority, enforceability and sufficient funds at Closing. Except for express contractual representations, no representation concerning forecasts or projections is proposed, subject to the agreed fraud provisions and applicable law.</w:t>
        <w:br/>
        <w:t>3.1 Interim Conduct. Between signing and Closing, Seller shall procure operation of the target in the ordinary course in all material respects and reasonable efforts to preserve its business, personnel and material relationships. Except as disclosed and agreed, required by law or expressly contemplated by the Agreement, Buyer’s prior written consent, not to be unreasonably withheld, conditioned or delayed, shall be required for material acquisitions or disposals, new indebtedness or security, equity issuances, material changes to compensation or material contracts, and distributions or other transfers of value to Seller or its connected persons. Permitted distributions and other exceptions shall be scheduled before signing. Unauthorized leakage shall be recoverable dollar-for-dollar without duplication of purchase-price adjustments or other recoveries. Buyer shall receive reasonable information and access subject to confidentiality, privilege, competition law and noninterference with operations; no pre-Closing control shall pass to Buyer.</w:t>
        <w:br/>
        <w:t>3.2 Indemnification and Escrow. Seller shall indemnify Buyer for actual losses arising from breaches of Seller’s express representations and covenants and agreed pre-Closing tax liabilities, subject to negotiated limitations. Buyer shall indemnify Seller for breaches of Buyer’s express representations and covenants. Before signing, the parties shall agree general and fundamental representation survival periods, tax survival periods, covenant survival, a de minimis threshold, basket, general liability cap, separate caps or treatment for fundamental and tax claims, and the escrow amount and release dates. General representation claims shall have first recourse to the escrow; whether that escrow is the exclusive source of recovery remains subject to agreement. There shall be no double recovery, and recoveries shall reflect insurance proceeds actually received net of reasonable recovery costs and tax benefits actually realized. Claimants shall reasonably mitigate losses. Punitive damages shall be excluded except to the extent payable to third parties, with other excluded loss categories to be negotiated. Claims must be notified with reasonable detail before the relevant survival period expires; timely notified claims shall survive until resolved. Third-party claim procedures shall address notice, defense control, participation and settlement consent, with safeguards for conflicts and nonmonetary relief. Escrow releases shall retain only amounts reasonably attributable to unresolved timely claims, with disputed amounts released only by joint instruction or final binding determination. Indemnification shall be the exclusive post-Closing monetary remedy for matters within its scope, subject to purchase-price adjustments, agreed fraud exceptions and expressly preserved remedies. Specific performance and other equitable relief shall remain available subject to applicable law. Nothing in this draft settles the outstanding liability limitations or expands liability for fraud beyond the scope to be expressly negotiated.</w:t>
      </w:r>
    </w:p>
    <w:p>
      <w:r>
        <w:t>4. Confidentiality and Announcements. Each party shall keep confidential the existence and terms of the proposed transaction and nonpublic information received in connection with it, and use that information solely to evaluate, finance, insure or implement the transaction. Disclosure is permitted on a need-to-know basis to its affiliates, actual or prospective financing sources, insurers and their respective professional advisers and representatives who are bound by contractual, professional or legal confidentiality duties appropriate to the information. Each party shall be responsible for compliance by its recipients, subject to any expressly agreed direct confidentiality undertakings. Confidentiality restrictions shall not apply to information demonstrated to be publicly available other than through breach, already lawfully known without restriction, independently developed, or lawfully received without restriction from another source. Disclosure required by law, regulation, court order or a competent authority is permitted only to the extent required; where lawful and reasonably practicable, the disclosing party shall give advance notice, consult on the form and scope of disclosure, and reasonably cooperate in seeking confidential treatment. Neither party shall make a public announcement without the other’s prior written consent, except where legally required, in which case the same advance consultation requirement applies. Privileged information and competitively sensitive or personal data shall be subject to appropriate withholding, redaction or clean-team arrangements. Existing confidentiality agreements remain effective pending execution of definitive documentation; their relationship to this clause and the duration of these obligations shall be settled before signing.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