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the financial statements, taken as a whole, are accurate in all material respects.</w:t>
      </w:r>
    </w:p>
    <w:p>
      <w:r>
        <w:t>4. Confidentiality. Each party shall keep the terms of this Agreement confidential, except for disclosures required by applicable law or to its professional advisers who need to know those terms and are bound by confidentiality obligations. To the extent legally permitted, a party required by law to disclose shall give the other party advance notice and limit disclosure to what is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