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For discussion and subject to Seller approval, the Seller proposes USD 45,000,000 as enterprise value for the Company on a cash-free, debt-free basis with a normalized level of working capital. The equity purchase price payable for the Shares shall equal that enterprise value, plus agreed closing cash, less agreed closing indebtedness and debt-like items, less unpaid Company transaction expenses, and plus or minus the amount by which closing working capital exceeds or falls below an agreed normalized target. Definitions, permitted cash, debt-like items, the working-capital target and illustrative calculations shall be agreed in schedules before signing. No item shall be counted more than once, whether in cash, indebtedness, debt-like items, transaction expenses or working capital, or otherwise recovered twice. The accounting hierarchy shall prioritize the agreed specific policies, followed by the applicable accounting framework applied consistently. Seller shall deliver an estimated closing statement before Closing, with payment based on that estimate. Buyer shall deliver a final closing statement within 60 days after Closing; Seller shall have 30 days to review and object, with reasonable access to supporting records. Unresolved accounting disputes shall be referred to an independent accountant acting as expert under an agreed procedure, with payment of any resulting adjustment promptly after final determination. This proposal does not accept Buyer's USD 36,000,000 offer.</w:t>
      </w:r>
    </w:p>
    <w:p>
      <w:r>
        <w:t>2. Closing and Conditions. The parties shall work toward Closing within 30 days after signing, as a target only. Closing shall occur within five business days after satisfaction or lawful waiver by the benefiting party of the closing conditions, other than conditions to be satisfied at Closing, which remain subject to satisfaction or waiver at Closing. A mutually agreed long-stop date shall be specified before signing. Either party may terminate if Closing has not occurred by that date, unless its material breach caused the failure to close, without prejudice to accrued rights. Buyer shall complete its financial, tax, legal and commercial diligence and obtain its internal transaction approvals before execution of a binding definitive agreement; diligence satisfaction shall not be a discretionary post-signing closing condition. Closing conditions shall include required regulatory approvals and the material third-party consents specifically identified in an agreed schedule; absence of any injunction or law prohibiting Closing; delivery of customary transfer instruments, corporate approvals and releases of liens over the Shares; and material compliance by each party with its pre-Closing covenants. Seller's fundamental representations shall be accurate in all respects, subject only to de minimis inaccuracies; other representations shall be accurate except for inaccuracies that, disregarding their materiality qualifiers solely for this closing test, would not constitute a Material Adverse Effect. Representations speaking as of a specified date shall be tested as of that date. Buyer's authority and enforceability representations shall be accurate at Closing, and Buyer shall deliver the purchase price. There shall have been no Material Adverse Effect since signing, defined as a material adverse effect on the Company's business, financial condition or results, excluding general economic, industry, market or legal changes except to the extent disproportionately affecting the Company, and excluding effects of announcement of the transaction and actions required by this Agreement or consented to by Buyer. Buyer shall have no financing condition.</w:t>
      </w:r>
    </w:p>
    <w:p>
      <w:r>
        <w:t>3. Representations, Interim Covenants and Indemnification. The definitive agreement shall contain the following provisions, with detailed scope, definitions and disclosure schedules settled before signing.</w:t>
        <w:br/>
        <w:t>(a) Representations. Subject to specific disclosures fairly made in agreed disclosure schedules, Seller shall represent its title to the Shares free of liens, authority and enforceability, and the Company's capitalization. Seller shall also give customary, appropriately scoped representations concerning the Company’s financial statements, undisclosed liabilities, taxes, material contracts, litigation, compliance with law, employment and intellectual property. The identified financial statements shall have been prepared consistently under the applicable accounting framework and shall fairly present, in all material respects, the Company's financial position and results for the relevant periods, subject, for unaudited interim statements, to disclosed absence of footnotes and normal year-end adjustments. There shall be no blanket 'taken as a whole' limitation. Other representations shall use negotiated knowledge, materiality and time limitations appropriate to their subject matter, without duplicative materiality qualifications. Buyer shall represent its organization, authority, enforceability and ability to fund the purchase price at Closing.</w:t>
        <w:br/>
        <w:t>(b) Interim Covenants and Access. From signing until Closing, Seller shall procure that the Company operates in the ordinary course and uses commercially reasonable efforts to preserve its business. Except as expressly permitted in an agreed schedule, required by law or approved by Buyer, the Company shall not make distributions or other transfers of value to Seller or its affiliates, issue securities, incur material indebtedness, dispose of material assets, materially amend material contracts, or enter into material non-ordinary-course commitments. Buyer consent shall not be unreasonably withheld, conditioned or delayed. Seller shall provide reasonable diligence and transition access on notice during normal business hours, subject to confidentiality, privilege, data protection, competition law and non-disruption safeguards. Alternative disclosure arrangements shall be considered where direct disclosure is restricted. Buyer shall not contact employees, customers or suppliers without Seller's prior consent. These covenants shall not confer operational control on Buyer before Closing. Any prohibited leakage shall be reimbursed dollar-for-dollar, without duplication of a price adjustment or other recovery.</w:t>
        <w:br/>
        <w:t>(c) Indemnification Proposal. Subject to agreement before signing, general business representations shall survive for 18 months after Closing, with a deductible basket of 1% of the final equity purchase price and an aggregate cap of 10% of that price. Seller proposes an escrow of 5% of the closing equity purchase price, funded from Seller's proceeds, for 18 months as the exclusive source of recovery for general representation claims, with release at expiry except for amounts reasonably reserved for timely notified, specifically described unresolved claims. Fundamental representations shall survive for six years, be outside the general basket and escrow limitation, and be capped at the final equity purchase price. Pre-Closing tax indemnities, subject to agreed exclusions and allocation provisions, shall survive until 60 days after expiry of the applicable limitation period, be outside the general basket and escrow limitation, and be capped at the final equity purchase price. Covenant claims shall be addressed separately according to the relevant performance period; prohibited leakage shall not be subject to the general basket or cap. A timely notified claim shall survive until resolved. No limitation shall protect a person from liability for its own actual fraud, and nothing shall limit liability that cannot lawfully be limited. The definitive agreement shall include notice and defense procedures, reasonable mitigation obligations, credit for actual insurance recoveries and realized tax benefits net of related costs, and prohibitions on double recovery and recovery of amounts already reflected in the purchase-price adjustment. Except for actual fraud, equitable relief, purchase-price adjustments and expressly preserved covenant remedies, the agreed indemnification regime shall be the exclusive post-Closing remedy. All proposed survival periods, baskets, caps and security arrangements remain subject to express agreement.</w:t>
      </w:r>
    </w:p>
    <w:p>
      <w:r>
        <w:t>4. Confidentiality and Announcements. Each party shall keep confidential the terms of this Agreement and non-public information received in connection with the transaction, except for disclosures required by applicable law or to its professional advisers and relevant representatives, and, in Buyer's case, prospective financing sources and their advisers, who need to know the information for evaluating, financing or implementing the transaction and are subject to professional or contractual confidentiality duties no less protective in substance than this provision. Each party shall be responsible for compliance by its permitted recipients, subject to any expressly agreed direct confidentiality undertaking. Information shall be used only for the transaction. To the extent legally permitted, a party required by law to disclose shall give the other party advance notice, reasonably cooperate in seeking protective treatment and limit disclosure to what is legally required. Neither party shall make a public announcement without prior consultation with and written consent of the other, such consent not to be unreasonably withheld or delayed, except where legally required; in that event, prior consultation shall occur to the extent legally permitted and practicable. Existing confidentiality undertakings shall continue to apply, and diligence access shall not waive privilege or other protections.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