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Subject to the Seller’s disclosure schedules, the Seller represents that the financial statements delivered to the Buyer fairly present, in all material respects, the financial position and results of operations of the Company as of the dates and for the periods stated therein.</w:t>
      </w:r>
    </w:p>
    <w:p>
      <w:r>
        <w:t>4. Confidentiality. Each party shall keep the terms of this Agreement confidential, except for disclosures to its professional advisers and financing sources who are subject to confidentiality obligations, disclosures required by applicable law or legal process, and disclosures approved in writing by the other party. To the extent legally permitted, a party required to make a disclosure shall provide the other party with reasonable advance notice and disclose only what is legally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