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aggregate purchase price for the Shares is USD 40,000,000, on a cash-free, debt-free basis with a normalized level of working capital, subject to Seller approval and agreement on the complete transaction terms. The purchase price shall be increased by agreed closing cash and reduced by agreed closing indebtedness and unpaid Company transaction expenses, and increased or reduced by the amount by which closing working capital exceeds or falls below an agreed normalized working-capital target. Definitions, exclusions, the target, an illustrative calculation and a hierarchy of accounting principles shall be agreed and attached before signing. No item shall be counted more than once. Seller shall deliver a good-faith estimated closing statement at least five business days before Closing; Buyer shall deliver its proposed final statement within 60 days after Closing, with reasonable supporting detail and access to relevant records for Seller. Seller shall have 30 days to object; absent a timely objection the statement shall be final. Unresolved calculation disputes shall be submitted to an independent accounting firm jointly appointed by the parties, acting as an expert and limited to the disputed items and the parties’ respective proposed amounts. Any resulting payment shall be made within five business days after final determination. These adjustments shall not permit revaluation of the agreed business price or changes to the agreed accounting principles.</w:t>
      </w:r>
    </w:p>
    <w:p>
      <w:r>
        <w:t>2. Closing; Conditions; Termination. The parties shall use commercially reasonable efforts to achieve Closing within 30 days after signing. Closing shall occur on the third business day after satisfaction or lawful written waiver by the party entitled to its benefit of the agreed conditions, other than conditions to be satisfied at Closing, subject to their satisfaction or waiver at Closing. Conditions shall comprise required regulatory approvals and expressly identified third-party consents; absence of any law or order prohibiting Closing; each party’s performance in all material respects of its pre-Closing covenants; accuracy of each party’s representations at signing and Closing, subject to agreed materiality standards and exceptions for representations made as of a specified date; and delivery of the agreed closing documents. Diligence and internal client approvals shall be completed before signing and shall not constitute post-signing conditions. Buyer shall secure its financing before signing, and availability of financing shall not be a condition to Buyer’s obligation to close. The proposed outside date is 60 days after signing, extendable by mutual written agreement. Either party may terminate by written notice if Closing has not occurred by that date, unless that party’s breach has principally caused the failure to close; upon a final, nonappealable legal prohibition on Closing; or for the other party’s breach that would cause a closing condition to fail and remains uncured for 15 business days after written notice, or is incapable of cure before the outside date. A party materially in breach may not terminate for the other party’s breach. The parties may also terminate by mutual written agreement. Termination shall not affect accrued rights for pre-termination breach, and confidentiality and applicable dispute-resolution provisions shall survive. Neither party shall have a unilateral diligence or financing termination right.</w:t>
      </w:r>
    </w:p>
    <w:p>
      <w:r>
        <w:t>3. Representations and Disclosure Schedules. Subject to specific exceptions fairly disclosed in the disclosure schedules agreed at signing, Seller represents at signing and Closing as follows: (a) Seller owns the Shares and will transfer good title free of liens other than transfer restrictions imposed by applicable securities laws; (b) the scheduled capitalization of the Company is complete and accurate, the issued shares are validly issued and fully paid, and there are no outstanding options, warrants or other rights to acquire securities except as scheduled; (c) Seller and the Company are duly organized and validly existing, as applicable, and Seller has authority to execute and perform this Agreement, which is binding subject to customary insolvency and equitable-principles exceptions; (d) the delivered financial statements were prepared in accordance with the applicable accounting standards identified in the schedules, consistently applied throughout the periods presented, and fairly present in all material respects the Company’s financial position and results of operations, with interim statements subject to normal year-end adjustments and the absence of footnotes; (e) the Company has no liabilities required to be reflected or reserved against in a balance sheet under those standards other than liabilities reflected or reserved against in the delivered financial statements, fairly disclosed in the schedules, incurred in the ordinary course since the latest balance-sheet date, or incurred in connection with this transaction; (f) the Company has timely filed all material required tax returns, those returns are accurate in all material respects, all material taxes due have been paid or adequately reserved, and there are no pending or, to Seller’s knowledge, threatened material tax proceedings except as scheduled; (g) the Company is in compliance in all material respects with applicable laws and holds the material permits required for its business, and has received no unresolved written notice of a material violation; and (h) the schedules identify all material contracts under agreed categories and thresholds, each is in force and binding on the Company subject to customary enforceability exceptions, the Company is not in material default, and, to Seller’s knowledge, no counterparty is in material default or has given written notice of termination. ‘Seller’s knowledge’ means the actual knowledge, after reasonable inquiry of direct reports responsible for the relevant subject, of individuals identified before signing. Schedule disclosures qualify other representations only where their relevance is reasonably apparent on their face. Buyer may review and comment on all schedules before signing; no undisclosed or unreviewed schedule is deemed accepted by this draft, and post-signing updates shall not cure a breach without Buyer’s written agreement. Buyer shall provide reciprocal customary organization, authority and enforceability representations and a representation that it will have sufficient immediately available funds at Closing.</w:t>
      </w:r>
    </w:p>
    <w:p>
      <w:r>
        <w:t>4. Confidentiality. Each party shall keep the terms of this Agreement and nonpublic information received in connection with the transaction confidential, except for disclosures to its relevant affiliates, directors, officers, employees, professional advisers, financing sources and other representatives who need to know for the transaction and are bound by confidentiality obligations or professional duties of confidentiality; disclosures required by applicable law or legal process; and disclosures approved in writing by the other party. Each party shall be responsible for breaches of this provision by its permitted recipients. To the extent legally permitted, a party required to make a disclosure shall provide the other party with reasonable advance notice and disclose only what is legally required. This provision supplements, and does not diminish, any existing confidentiality agreement between the parties.</w:t>
        <w:br/>
        <w:br/>
        <w:t>5. Interim Operating Covenants. Until Closing, Seller shall cause the Company to operate in the ordinary course consistent with past practice and use commercially reasonable efforts to preserve its business and material relationships. Except as scheduled, required by law or expressly contemplated by this Agreement, the Company shall not issue securities, make distributions, incur material indebtedness outside the ordinary course, dispose of material assets, enter into or terminate material contracts outside the ordinary course, materially increase compensation outside the ordinary course, or make material tax elections without Buyer’s prior written consent, not to be unreasonably withheld, conditioned or delayed. Buyer shall receive reasonable access on notice during business hours, subject to confidentiality, privilege, applicable law and noninterference with operations. Buyer shall have no right to direct the Company’s business before Closing.</w:t>
        <w:br/>
        <w:br/>
        <w:t>6. Indemnification and Remedies—Seller’s Proposal. Following Closing, Seller shall indemnify Buyer for losses arising from breaches of Seller’s representations or covenants and Company taxes attributable to pre-Closing periods, excluding amounts reflected in the final purchase-price calculation. Buyer shall indemnify Seller for losses arising from breaches of Buyer’s representations or covenants. General representations shall survive for 18 months after Closing; title, capitalization and authority representations for six years; and tax representations and the pre-Closing tax indemnity until 60 days after expiry of the applicable limitation period. Covenants shall survive for their stated duration or until performed. A claim notified with reasonable detail before expiry shall survive until resolved. For general representation claims against Seller, a USD 25,000 per-claim threshold, aggregating related claims, and a deductible basket equal to 1% of the final purchase price shall apply, with an aggregate cap of 10% of the final purchase price. Those thresholds and that cap shall not apply to title, capitalization, authority, tax or covenant claims; Seller’s aggregate liability for all claims shall not exceed the purchase price actually received, except for Seller’s own actual fraud. Recoveries shall be reduced by insurance proceeds actually recovered, net of recovery costs, and tax benefits actually realized; there shall be no double recovery. Each indemnified party shall take reasonable steps to mitigate losses. Punitive damages shall be excluded except to the extent payable to third parties or arising from actual fraud. Third-party claims require prompt notice, with delay excusing liability only to the extent of prejudice. The indemnifying party may assume the defense with competent counsel, except where a material conflict or nonmonetary relief makes that inappropriate, and may not settle without consent unless the settlement provides an unconditional release, imposes no admission or nonmonetary obligation and is fully funded by the indemnifying party. Indemnification shall be the exclusive post-Closing monetary remedy for matters covered by this Agreement, except for actual fraud, enforcement of purchase-price adjustments, and payment obligations. Nothing shall preclude appropriate equitable relief, including specific performance, subject to applicable law. The parties shall agree governing law, forum and detailed claim procedures before signing.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