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Except as disclosed in the disclosure schedules agreed by the parties, the Seller represents that the financial statements identified in those schedules fairly present, in all material respects, the financial position and results of operations of the Company as of the dates and for the periods stated therein, in accordance with the accounting principles specified therein, consistently applied, subject, in the case of unaudited statements, to normal year-end adjustments and the absence of footnotes.</w:t>
      </w:r>
    </w:p>
    <w:p>
      <w:r>
        <w:t>4. Confidentiality. Each party shall keep confidential the terms of this Agreement and nonpublic information received from the other party in connection with the transaction, and shall use such information solely for purposes of the transaction. Disclosure is permitted to representatives who need to know such information and are bound by confidentiality obligations, or to the extent required by applicable law or legal process. To the extent legally permitted, a party required to disclose shall give the other party prompt prior notice and reasonably cooperate in seeking confidential treatment. Neither party shall issue a public announcement concerning the transaction without the other party's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