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For discussion, the Seller proposes an enterprise value of USD 42,000,000 for the acquisition of all the Shares, on a cash-free, debt-free basis and assuming delivery of normalized working capital. The equity purchase price shall equal that enterprise value, plus Closing Cash, minus Closing Indebtedness, minus unpaid Company Transaction Expenses, plus the amount by which Closing Working Capital exceeds the agreed Target Working Capital or minus any shortfall. These terms, the Target Working Capital of USD [to be agreed], and an illustrative calculation shall be specified in an agreed pricing schedule before signing. Cash shall exclude restricted or unavailable cash; working capital shall exclude cash, indebtedness and transaction expenses. Debt-like items, leases, taxes and intercompany balances shall be expressly classified in that schedule, with no double counting. The target shall reflect an agreed representative historical period, seasonality and normalization adjustments. The Seller shall deliver an estimated closing statement at least five Business Days before Closing, on which the closing payment shall be based. The Buyer shall deliver its proposed final closing statement within 60 days after Closing, with supporting records and reasonable access for the Seller. The Seller shall have 30 days to object specifically; otherwise that statement becomes final. Disputed items not resolved within 20 days shall be referred to an independent accountant jointly appointed by the parties, acting as expert, with authority limited to disputed accounting items and the range of the parties’ positions. Expert costs shall be allocated in proportion to each party’s lack of success. Any adjustment shall be paid within five Business Days after final determination. Calculations shall follow the specific policies and illustrative calculation in the pricing schedule, then the agreed historical accounting policies, then the expressly identified accounting framework, in that order, without purchase-accounting adjustments or changes resulting from Buyer actions after Closing.</w:t>
      </w:r>
    </w:p>
    <w:p>
      <w:r>
        <w:t>2. Signing and Closing. Completion of the Buyer’s diligence and agreement of the disclosure schedules shall occur before signing; satisfactory diligence shall not be a discretionary post-signing closing condition. Closing shall occur within five Business Days after satisfaction or lawful waiver by the party entitled to the benefit of the applicable conditions, other than conditions to be satisfied at Closing. Conditions shall comprise the regulatory approvals and material third-party consents specifically listed in an agreed schedule; absence of any applicable legal restraint prohibiting the transaction; accuracy at Closing of the Seller’s authority, title and capitalization representations in all material respects and of its other representations except for inaccuracies that, taken together, would constitute a Material Adverse Effect, without double-counting materiality qualifications; material compliance with pre-closing covenants; and absence of a Material Adverse Effect since signing. Representations expressly made as of a specified date shall be tested as of that date. The Seller’s obligation shall also be subject to the Buyer’s authority representation being accurate in all material respects and receipt of the closing payment. Material Adverse Effect means a material adverse effect on the business, assets, financial condition or results of operations of the Company, taken as a whole, excluding general economic, market or industry changes, changes in law or accounting standards, war, terrorism, pandemics, announcement of the transaction and actions required by this Agreement or consented to by the Buyer; disproportionate effects of general changes relative to comparable industry participants may be taken into account. Failure to meet projections alone shall not constitute a Material Adverse Effect, although underlying causes may be considered subject to those exclusions. The parties shall use reasonable best efforts to obtain the listed approvals and consents, subject to expressly agreed limits on required remedies. There shall be no financing condition. The outside date shall be [date to be agreed before signing], with an agreed extension mechanism for pending regulatory approvals. Either party may terminate after the outside date if Closing has not occurred, unless that party’s material breach caused the failure to close; termination shall not release liability for prior breach.</w:t>
      </w:r>
    </w:p>
    <w:p>
      <w:r>
        <w:t>3. Representations, Covenants and Indemnification.</w:t>
        <w:br/>
        <w:t>(a) Financial Statements. Before signing, this clause shall expressly identify the Company’s audited financial statements for the years ended [dates], including the auditor’s reports, and unaudited interim financial statements for the period ended [date], and the applicable accounting framework [identify framework and jurisdiction]. No dates, audit status or framework are agreed by these placeholders. The Seller shall represent that those statements fairly present, in all material respects, the Company’s financial position and results of operations and, where included, cash flows as of and for the stated dates and periods, in accordance with that framework consistently applied. The unaudited statements may be subject to normal year-end adjustments and omitted footnotes, but those qualifications shall not excuse material misstatements or adjustments that would be material individually or in the aggregate.</w:t>
        <w:br/>
        <w:t>(b) Disclosure and Additional Representations. Exceptions must be specifically and fairly disclosed in the agreed schedules with sufficient detail to identify their nature and scope. An exception qualifies its identified representation and another representation only where its relevance is reasonably apparent on the face of the disclosure. General data-room disclosure shall not alone qualify a representation. The definitive agreement shall include Seller representations on title to the Shares free of encumbrances, authority and enforceability, capitalization, taxes, undisclosed liabilities, material contracts, litigation, compliance with applicable law and employee matters, with scope, knowledge definitions and materiality qualifications expressly agreed before signing. The Buyer shall give customary authority, enforceability and availability-of-funds representations.</w:t>
        <w:br/>
        <w:t>(c) Interim Covenants. Between signing and Closing, the Seller shall cause the Company to operate in the ordinary course and use commercially reasonable efforts to preserve its business and material relationships. Subject to agreed monetary thresholds and disclosed exceptions, the Company shall not make distributions, issue securities, incur material indebtedness, dispose of material assets, enter into or terminate material contracts, materially increase compensation outside the ordinary course, or change material accounting or tax practices without the Buyer’s prior consent, not to be unreasonably withheld, conditioned or delayed. Exceptions shall apply for actions required by law or this Agreement. Buyer access shall be reasonable, subject to confidentiality, privilege, competition-law safeguards and noninterference with operations; the Buyer shall not control the business before Closing.</w:t>
        <w:br/>
        <w:t>(d) Indemnification. The definitive agreement shall provide reciprocal indemnification for breaches of representations and covenants and an expressly allocated pre-Closing tax indemnity. Proposed Seller protections are a general-representation survival period of [period], a per-claim de minimis threshold of USD [amount], a deductible basket of USD [amount] and an aggregate general-representation cap of [percentage] of the final purchase price. Fundamental representations and tax claims shall have separately agreed survival periods and caps; covenant claims shall have expressly agreed limits. An escrow of USD [amount], funded from the Seller’s closing proceeds, shall secure general-representation claims and be their exclusive source of recovery, subject to expressly negotiated exceptions. The escrow shall be released at [date], less reasonable reserves for timely notified, sufficiently detailed unresolved claims. There shall be no double recovery, including for matters reflected in the price adjustment; recoveries shall be reduced by insurance proceeds actually received, net of recovery costs. Claims procedures shall address notice, defense of third-party claims, settlement consent and mitigation. Indemnification shall be the exclusive post-Closing monetary remedy except for price adjustments and fraud committed by the party against whom recovery is sought; equitable remedies shall remain available as agreed. All indemnity amounts, periods, exceptions and escrow terms remain open and require express agreement before signing.</w:t>
      </w:r>
    </w:p>
    <w:p>
      <w:r>
        <w:t>4. Confidentiality. Each party shall keep confidential the terms of this Agreement and nonpublic information received from the other party in connection with the transaction and shall use such information solely for purposes of the transaction. Disclosure is permitted to representatives, including professional advisers and prospective financing sources, who need to know the information for that purpose and are subject to contractual or professional confidentiality obligations appropriate to its sensitivity and no less protective in substance than this clause. Each party shall be responsible for breaches by its permitted recipients. Disclosure is also permitted to the extent required by applicable law or legal process. To the extent legally permitted, the disclosing party shall give prompt prior notice and reasonably cooperate in seeking confidential treatment, and shall disclose only what is legally required. Neither party shall issue a public announcement concerning the transaction without the other party’s prior written consent, except as required by applicable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