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proposed base purchase price for the Shares is USD 45,000,000, subject to Seller approval and agreement on definitive terms. The Seller has not accepted the Buyer's USD 35,000,000 proposal. The base purchase price shall be increased by agreed Closing cash, reduced by agreed Closing indebtedness and unpaid transaction expenses, and increased or reduced by the amount by which Closing normalized working capital exceeds or falls below an agreed target. Definitions, exclusions, the target, accounting principles, illustrative calculations, and procedures for estimated and final Closing statements shall be agreed before signing. Adjustments shall avoid double counting and include reasonable review and objection periods and referral of unresolved accounting disputes to an independent accountant acting as expert.</w:t>
      </w:r>
    </w:p>
    <w:p>
      <w:r>
        <w:t>2. Diligence; Closing; Interim Covenants; Termination.</w:t>
        <w:br/>
        <w:t>(a) The parties shall target Closing within 30 days after signing, subject to satisfaction or permitted waiver of agreed conditions, including completion of satisfactory diligence against an agreed scope and timetable, required regulatory approvals and third-party consents, material compliance with covenants, and accuracy of representations at Closing subject to agreed materiality standards. No party may rely on the failure of a condition caused by its own breach. Any outstanding diligence condition and its applicable standards must be expressly agreed before signing; no unrestricted Buyer discretion to withdraw is agreed.</w:t>
        <w:br/>
        <w:t>(b) Subject to appropriate confidentiality protections, legal restrictions, privilege, and reasonable notice, the Seller shall provide reasonable access to relevant financial records and diligence materials without unreasonable disruption to the business. The Seller need not waive privilege and shall use reasonable efforts to provide permissible alternative disclosure where appropriate.</w:t>
        <w:br/>
        <w:t>(c) Between signing and Closing, the Seller shall procure that the business operates in the ordinary course and uses commercially reasonable efforts to preserve material business relationships. Subject to agreed thresholds and exceptions, the Seller shall not permit extraordinary distributions, material indebtedness, changes to share capital, material asset disposals, or entry into, amendment of, or termination of material contracts outside the ordinary course without the Buyer's consent, not to be unreasonably withheld, conditioned, or delayed. Exceptions shall apply for disclosed commitments, applicable law, and reasonable emergency actions with prompt notice.</w:t>
        <w:br/>
        <w:t>(d) The definitive agreement shall permit termination by mutual written consent; by either party if Closing has not occurred by an agreed outside date, provided that party's breach has not caused the failure to close; for a final non-appealable legal prohibition; and by the non-breaching party for a material breach preventing satisfaction of a Closing condition that remains uncured after an agreed notice and cure period. Any diligence termination right shall be limited to the expressly agreed standards and deadline. Termination shall not affect accrued liability for prior breach or provisions expressly surviving termination.</w:t>
      </w:r>
    </w:p>
    <w:p>
      <w:r>
        <w:t>3. Representations; Indemnification.</w:t>
        <w:br/>
        <w:t>(a) The definitive agreement shall include Seller representations concerning ownership of and good title to the Shares, free of encumbrances other than agreed permitted encumbrances; authority and enforceability; capitalization; financial statements fairly presenting the financial position and results in accordance with agreed accounting standards; absence of undisclosed liabilities subject to agreed exceptions; taxes; material contracts; litigation; and compliance with applicable law. These representations shall be subject to negotiated disclosure schedules, scope, materiality qualifications, and knowledge qualifications where appropriate. The Buyer shall provide customary representations concerning authority, enforceability, and availability of funds.</w:t>
        <w:br/>
        <w:t>(b) The definitive agreement shall include indemnification for breaches of representations and covenants and agreed pre-Closing tax liabilities, with reciprocal protection for Buyer breaches. General representations are proposed to survive for 18 months after Closing; title, authority, capitalization, and tax representations shall have separately agreed survival periods appropriate to their subject matter and applicable limitation periods. Timely notified claims shall survive until resolved.</w:t>
        <w:br/>
        <w:t>(c) Indemnification shall be subject to agreed de minimis thresholds, baskets, caps, mitigation obligations, exclusions of duplicative recovery, treatment of insurance recoveries, and procedures for direct and third-party claims. Fraud and any other exceptions to limitations shall be expressly defined and agreed. Subject to those exceptions and agreed equitable remedies, indemnification shall be the exclusive post-Closing remedy for matters within its scope. An agreed portion of the purchase price shall be placed in escrow as security, with the amount, duration, claim-reservation procedures, release mechanics, and relationship to liability caps to be agreed before signing. No security amount or uncapped general Seller liability is agreed by this draft.</w:t>
      </w:r>
    </w:p>
    <w:p>
      <w:r>
        <w:t>4. Confidentiality. Each party shall keep confidential the transaction terms and non-public information received in connection with the transaction and shall use that information solely to evaluate, finance, negotiate, or implement the transaction. Disclosure is permitted to representatives, professional advisers, and prospective financing sources with a need to know who are bound by professional duties or confidentiality obligations no less protective in substance. Each party shall be responsible for compliance by recipients to whom it discloses information, subject to agreed exceptions for recipients separately bound directly to the disclosing party. Disclosure required by law, regulation, stock-exchange rule, or legal process is permitted, provided that, where legally permissible, the receiving party gives prompt advance notice, reasonably cooperates in seeking protective treatment, and discloses only what is required. Confidential information excludes information demonstrably public other than through breach, lawfully received from an unrestricted third party, already lawfully held without restriction, or independently developed. Public announcements require prior written consent except where legally required. Return or destruction obligations shall be subject to customary legal, regulatory, professional-retention, and automated-backup exceptions, with retained information remaining protected. Any existing confidentiality agreement remains effective unless expressly superseded in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