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 — DISCUSSION DRAFT</w:t>
        <w:br/>
        <w:t>Subject to contract. This draft is for negotiation only and creates no binding obligation. No party is obliged to transact unless and until definitive documentation is agreed, executed and delivered.</w:t>
      </w:r>
    </w:p>
    <w:p>
      <w:r>
        <w:t>1. Purchase Price and Adjustment. The Seller proposes a base purchase price of USD 45,000,000 for the Shares, on a cash-free, debt-free basis with a normalized level of working capital. This proposal does not accept the Buyer’s USD 35,000,000 proposal. The final price shall equal the base price plus agreed Closing Cash, less agreed Closing Debt and unpaid Seller Transaction Expenses borne by the target, and plus or minus the amount by which Closing Working Capital exceeds or falls below an agreed normalized working-capital target. Definitions, exclusions, accounting policies and a sample calculation shall be agreed in a schedule before signing. No item shall be counted more than once. Restricted cash, debt-like items, intercompany balances and transaction-related liabilities require express treatment in that schedule.</w:t>
        <w:br/>
        <w:t>The Seller shall deliver an estimated closing statement at least five business days before Closing, and the estimated price shall be paid at Closing, less any agreed escrow deposit. The Buyer shall deliver completion accounts within 60 days after Closing, prepared under the agreed accounting policies, consistently applied. The Seller shall have 30 days after receipt to give a detailed objection notice, with reasonable access to relevant records and personnel. Uncontested items shall become final. The parties shall seek to resolve disputed items for 20 business days, after which unresolved accounting items shall be referred to an independent accountant jointly appointed by the parties, acting as an expert and not an arbitrator. The definitive agreement shall specify a fallback appointment mechanism. The expert shall decide only disputed accounting items within the parties’ submitted positions; its determination shall be final absent manifest error. Fees shall be allocated according to relative success. Any resulting adjustment shall be paid within five business days after final determination.</w:t>
      </w:r>
    </w:p>
    <w:p>
      <w:r>
        <w:t>2. Diligence, Signing and Closing. Execution of definitive documentation is subject to satisfactory diligence and agreement on all material terms. The parties target Closing within 30 days after signing, but only if all applicable closing conditions have been satisfied or lawfully waived by the party entitled to their benefit. Conditions shall include required regulatory approvals and agreed third-party consents, absence of a legal prohibition, accuracy of representations at the agreed materiality standard, material performance of pre-closing covenants, and delivery of agreed closing documents. Any diligence condition surviving signing must be expressly defined, time-limited and included in the definitive agreement; no open-ended diligence or financing condition is agreed by this draft.</w:t>
        <w:br/>
        <w:t>Closing deliverables shall include duly executed share-transfer instruments and applicable certificates, corporate authorizations, agreed officer certificates, evidence of required consents, agreed debt-payoff and security-release documentation, an updated share register where applicable, and an executed escrow agreement if agreed. The Buyer shall deliver the closing payment in immediately available funds. The parties shall agree a long-stop date and the treatment of any regulatory extension before signing.</w:t>
      </w:r>
    </w:p>
    <w:p>
      <w:r>
        <w:t>3. Representations and Warranties. Subject to agreed disclosure schedules, materiality thresholds, knowledge qualifications and other limitations, the Seller shall give customary representations concerning: (a) its authority to execute and perform the agreement; (b) its title to the Shares, free from encumbrances other than agreed exceptions; (c) the target’s capitalization and outstanding rights to acquire securities; (d) preparation of specified financial statements under agreed accounting standards and their fair presentation in all material respects; (e) absence of undisclosed liabilities, subject to agreed exceptions for disclosed, reserved and ordinary-course liabilities; (f) tax returns, payments and material tax disputes; (g) material contracts and material defaults; (h) material litigation; and (i) compliance with applicable law. Scope, look-back periods and the definition of Seller knowledge remain to be agreed. The Buyer shall give customary representations concerning organization, authority, enforceability and availability of funds. No representation concerning forecasts or future performance is proposed.</w:t>
      </w:r>
    </w:p>
    <w:p>
      <w:r>
        <w:t>4. Confidentiality. Each party shall keep confidential the transaction terms and nonpublic information received in connection with the proposed transaction and use that information solely to evaluate, finance or implement it. Disclosure is permitted to its personnel, professional advisers and bona fide financing sources who need to know and are bound by confidentiality obligations or professional duties of confidentiality. Each party shall be responsible for breaches by its recipients, subject to agreed exceptions for recipients bound directly to the disclosing party. Disclosure required by law, regulation or legal process is permitted, provided the receiving party, to the extent lawful, gives prompt notice, reasonably cooperates in seeking protective treatment and discloses only what is required. Information demonstrably public without breach, already lawfully known, independently developed or lawfully received without restriction is excluded. Public announcements require prior written consent except where legally required. Any existing confidentiality agreement remains effective; this nonbinding draft does not amend it.</w:t>
        <w:br/>
        <w:br/>
        <w:t>5. Interim Covenants and Access. From signing until Closing, the Seller shall procure that the target operates in the ordinary course and uses reasonable efforts to preserve its business. Subject to agreed exceptions and thresholds, material distributions, securities issuances, new indebtedness, asset disposals, acquisitions, changes to material contracts and extraordinary capital expenditure shall require Buyer consent, not to be unreasonably withheld, conditioned or delayed. The Buyer shall receive reasonable diligence access on notice, subject to confidentiality, privilege, data-protection and competition-law safeguards and without unreasonable business disruption. The Buyer shall have no right to control the target before Closing. Both parties shall use agreed reasonable efforts to obtain approvals and complete Closing.</w:t>
        <w:br/>
        <w:br/>
        <w:t>6. Indemnification and Escrow. The definitive agreement shall provide indemnification for breaches of representations and covenants and agreed pre-Closing tax liabilities, subject to negotiated limitations. The Seller proposes 18-month survival for general representations, six years for title, capitalization and authority representations, and the applicable statutory limitation period plus 60 days for tax claims, in each case subject to applicable law. Covenants shall survive for their specified performance periods. Claims properly notified before expiry shall survive until resolved. General claims shall be subject to an agreed de minimis threshold, deductible basket and aggregate cap; separate caps for fundamental and tax claims shall be agreed. An agreed portion of the price shall be held by an independent escrow agent, with release after the general survival period except for reasonable reserves for properly notified unresolved claims. The amount, scope of security and claims-release procedure remain open. Remedies shall avoid double recovery, reflect actual recoveries from insurance or third parties net of recovery costs, and include mitigation and third-party defense procedures. Indemnification shall be the exclusive post-Closing monetary remedy except for agreed exceptions, including actual fraud to the extent recognized by governing law. No limitation shall exclude liability that cannot lawfully be excluded.</w:t>
        <w:br/>
        <w:br/>
        <w:t>7. Termination. Before Closing, the definitive agreement may be terminated by mutual written agreement, by either party following a final legal prohibition or failure to close by the agreed long-stop date, or by the nonbreaching party for a material breach preventing satisfaction of a closing condition that remains uncured after an agreed notice-and-cure period. A party whose material breach caused the failure to close may not rely on that failure to terminate. Termination shall preserve accrued liability for prior breach and provisions expressly stated to survive, including confidentiality and dispute resolution. No termination fee is agreed.</w:t>
        <w:br/>
        <w:br/>
        <w:t>8. Governing Law and Disputes. The governing law and exclusive court forum shall be expressly selected in the definitive agreement after the relevant jurisdictions and enforcement requirements are confirmed. Disputes shall first be referred to senior representatives for good-faith discussions for 20 business days, without preventing urgent interim relief or protective filings. Completion-accounts disputes within the independent accountant’s remit shall be resolved under Clause 1; other disputes shall be subject to the agreed exclusive court forum. Governing law, venue and service-of-process provisions remain open.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