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purchase price for the Shares is USD 45,000,000, subject to agreement on adjustments for cash, debt, working capital and transaction expenses. The parties shall agree the applicable definitions, accounting principles, working-capital target, calculation procedures and dispute-resolution mechanism in the definitive documentation, without double counting. The Buyer's USD 35,000,000 proposal remains under Seller consideration and has not been accepted. Any transaction remains subject to satisfactory completion of agreed diligence, required approvals and agreement on and execution of definitive documentation.</w:t>
      </w:r>
    </w:p>
    <w:p>
      <w:r>
        <w:t>2. Closing. The parties shall target Closing within 30 days after signing definitive documentation, subject to satisfaction or written waiver by the party entitled to the benefit of each applicable condition, except where waiver is prohibited by law. Conditions shall include required regulatory and corporate approvals, satisfactory completion of the agreed diligence process under standards and deadlines to be specified in the definitive documentation, absence of any legal prohibition on Closing, and delivery of customary closing documents. Such documents shall include duly executed instruments transferring the Shares, evidence of authority, payment of the purchase price, and any agreed releases of security interests. The definitive documentation shall specify the remaining conditions, the Closing timetable following their satisfaction or waiver, and an agreed outside date and termination rights.</w:t>
      </w:r>
    </w:p>
    <w:p>
      <w:r>
        <w:t>3. Representations and Indemnification. The definitive documentation shall contain customary Seller representations concerning title to the Shares and absence of encumbrances, authority and enforceability, capitalization, financial statements, undisclosed liabilities, taxes, material contracts, litigation and compliance with applicable law. Such representations shall be subject to agreed disclosure schedules and appropriate materiality, knowledge, scope and time qualifications. The parties shall agree indemnification for breaches of representations and covenants, together with applicable survival periods, claim procedures, mitigation obligations, exclusions of double recovery, baskets and caps, and appropriate treatment of fundamental representations, tax matters and fraud. Any indemnity security, including an escrow or holdback, remains subject to express agreement on its amount, duration, claims process and release mechanics; no security amount or arrangement is agreed by this draft.</w:t>
      </w:r>
    </w:p>
    <w:p>
      <w:r>
        <w:t>4. Confidentiality. Each party shall keep confidential the terms of this Agreement, the negotiations and nonpublic information received in connection with the proposed transaction, and shall use such information solely to evaluate, finance or implement the transaction. Disclosure is permitted to its advisers and actual or prospective financing sources who need to know the information for those purposes and are bound by professional duties or confidentiality obligations no less protective in substance than this clause. Each party shall be responsible for breaches by its recipients. Disclosure is also permitted to the extent required by law, regulation or legal process, provided that, where legally permitted, the disclosing party gives prompt prior notice, reasonably cooperates in seeking protective treatment and discloses only the information required. These obligations do not apply to information demonstrably public other than through a breach, lawfully obtained without confidentiality restrictions from a third party, or independently developed without use of confidential information. Any existing confidentiality agreement remains effective pending agreement on its treatment in the definitive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