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45,000,000, subject to mutually agreed cash, debt and working-capital adjustments. The definitions, accounting policies, target working capital, calculation procedures and dispute-resolution mechanism for those adjustments remain to be agreed. The Buyer's USD 36,000,000 counterproposal has not been accepted. Any definitive transaction remains subject to completion of satisfactory due diligence before signing and mutual agreement on definitive terms.</w:t>
      </w:r>
    </w:p>
    <w:p>
      <w:r>
        <w:t>2. Closing. The parties shall target Closing within 30 days after signing the definitive agreement, subject to satisfaction or, where legally permissible, waiver by the party entitled to the benefit of the applicable closing conditions. Those conditions shall include required regulatory and corporate approvals, agreed material third-party consents, accuracy of the parties' representations at Closing subject to agreed qualifications, and material performance of applicable pre-closing covenants. The definitive agreement shall specify the conditions, reasonable cooperation obligations, an outside date and termination rights; the 30-day target shall not require Closing while any applicable condition remains unsatisfied and unwaived.</w:t>
      </w:r>
    </w:p>
    <w:p>
      <w:r>
        <w:t>3. Representations and Liability Protections. The definitive agreement shall contain customary Seller representations concerning title to the Shares, authority, capitalization, financial statements, taxes, material contracts, litigation, compliance with applicable law and undisclosed liabilities, subject to agreed scope, materiality and knowledge qualifications and appropriate disclosure schedules. It shall also contain customary Buyer representations concerning authority and ability to fund the purchase price, together with mutually agreed pre-closing covenants. Indemnification provisions, survival periods, claim procedures, caps, baskets, exclusions, exclusive-remedy provisions and an escrow or holdback shall be negotiated. The amount, duration, funding and release mechanics of any escrow or holdback remain open; this draft does not establish unlimited liability or an agreed retention amount.</w:t>
      </w:r>
    </w:p>
    <w:p>
      <w:r>
        <w:t>4. Confidentiality. The definitive agreement shall require the parties to keep its terms and nonpublic transaction information confidential and to use such information solely for evaluating, financing and implementing the transaction. Permitted disclosures shall include disclosures on a need-to-know basis to professional advisers and actual or prospective financing sources who are subject to professional confidentiality duties or confidentiality obligations appropriate to the information disclosed. Each party shall be responsible for breaches by its recipients to the extent agreed in the definitive agreement. Disclosures required by law, regulation or legal process shall be permitted, with advance notice to the other party where legally permissible, reasonable cooperation in seeking protective treatment and disclosure limited to what is legally required. Any existing confidentiality agreement remains in effect according to its terms. Diligence access shall be subject to agreed confidentiality, privilege, data-protection and competitively sensitive information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