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For discussion only, the Buyer's proposed purchase price for the Shares is USD 35,000,000, subject to express Seller approval, Buyer approval, satisfactory Buyer diligence, and agreement on the remaining terms of a definitive agreement. The parties shall agree adjustments for cash, debt, transaction expenses and normalized working capital, including definitions, accounting policies, a working-capital target, completion accounts procedures and an independent-accountant dispute mechanism, without double counting. Neither inclusion of this proposal nor circulation of this draft constitutes Seller acceptance.</w:t>
      </w:r>
    </w:p>
    <w:p>
      <w:r>
        <w:t>2. Closing. Closing shall occur on the fifth Business Day following satisfaction or permitted waiver by the party entitled to its benefit of all agreed closing conditions, other than conditions to be satisfied at Closing, which remain subject to satisfaction or permitted waiver at Closing. Conditions shall include required regulatory approvals and agreed material third-party consents, absence of any legal prohibition, accuracy of representations subject to agreed materiality standards, material compliance with pre-closing obligations, and delivery of the agreed closing deliverables. Any diligence or internal-approval condition must be expressly agreed in the definitive agreement and subject to an agreed deadline; it shall not constitute an indefinite right to defer Closing. The parties shall agree a long-stop date. There is no unconditional requirement to close within 30 days of signing.</w:t>
      </w:r>
    </w:p>
    <w:p>
      <w:r>
        <w:t>3. Representations and Claims Protection. The definitive agreement shall contain customary Seller representations concerning ownership of and good title to the Shares, absence of encumbrances other than agreed permitted encumbrances, authority and enforceability, capitalization, financial statements, undisclosed liabilities, tax, material contracts, litigation and compliance with applicable law. The scope of those representations shall be subject to agreed disclosure schedules, materiality and knowledge qualifications and other negotiated exceptions. The Buyer shall give customary representations concerning authority, enforceability and availability of funds. The parties shall agree indemnification for breaches and appropriate tax matters, together with survival periods, de minimis thresholds, baskets, caps, mitigation obligations, claims procedures, control of third-party claims, restrictions on double recovery and an agreed exclusive-remedy framework, subject to agreed fraud exceptions and applicable law. The form, amount, duration and release mechanics of any security for claims, including any escrow or holdback, remain subject to express agreement; no such security is committed by this draft.</w:t>
      </w:r>
    </w:p>
    <w:p>
      <w:r>
        <w:t>4. Confidentiality. The parties shall keep confidential the proposed transaction, its terms and nonpublic information exchanged in connection with it, subject to any existing confidentiality agreement. Disclosure may be made on a need-to-know basis to representatives, professional advisers and actual or prospective financing sources bound by professional duties or confidentiality obligations appropriate to the information. Disclosure may also be made as required by law, regulation, stock-exchange rule or competent authority, with prior notice where lawful and practicable and reasonable cooperation to seek confidential treatment. Information demonstrably public other than through breach, previously lawfully held, independently developed or lawfully received without confidentiality restrictions is excluded. Public announcements require prior written consent except where legally required.</w:t>
        <w:br/>
        <w:br/>
        <w:t>5. Interim Operations. From signing until Closing or termination, the Seller shall procure that the business operates in the ordinary course and uses commercially reasonable efforts to preserve its material relationships and assets. Subject to agreed thresholds and exceptions, material disposals, acquisitions, indebtedness, distributions, changes to share capital, non-ordinary-course material contracts and material changes to accounting policies shall require Buyer consent, not to be unreasonably withheld, conditioned or delayed. Exceptions shall address actions required by law, disclosed existing commitments and reasonable emergency measures. Buyer access shall be on reasonable notice and subject to confidentiality, privilege, competition law and non-disruption safeguards; the Buyer shall not control the business before Closing.</w:t>
        <w:br/>
        <w:br/>
        <w:t>6. Closing Deliverables. Agreed deliverables shall include duly executed share-transfer instruments, share certificates or agreed substitutes, necessary corporate approvals, evidence of required consents and releases of agreed encumbrances, agreed officer resignations, updated corporate records and any agreed escrow documentation. The Buyer shall deliver the funds payable at Closing and its required approvals and executed documents. Payment and transfer shall occur contemporaneously.</w:t>
        <w:br/>
        <w:br/>
        <w:t>7. Termination. The definitive agreement shall permit termination by mutual written agreement, for a final non-appealable prohibition on the transaction, for a material breach preventing satisfaction of a closing condition and not cured within an agreed cure period after notice, or if Closing has not occurred by the agreed long-stop date. A party whose breach materially caused the failure to close may not rely on that failure to terminate. Termination shall preserve accrued rights and liabilities for prior breach and the provisions expressly designated to survive, including confidentiality and dispute resolution.</w:t>
        <w:br/>
        <w:br/>
        <w:t>8. Governing Law and Disputes. The definitive agreement shall specify a mutually agreed governing law and exclusive court forum, together with service-of-process arrangements. Purchase-price accounting disputes shall be referred to the independent accountant under clause 1, acting as an expert within an agreed remit. The governing law and forum remain open for agreement.</w:t>
        <w:br/>
        <w:br/>
        <w:t>9. Draft Status. This document is a nonbinding discussion draft, subject to contract, express Seller and Buyer approval and execution of a definitive agreement. It does not amend or supersede any existing binding confidentiality agreement. Outstanding commercial terms, disclosure schedules and supporting information remain subject to review and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