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for the Shares, by wire transfer of immediately available funds. The Buyer shall make payment without setoff, counterclaim, deduction, or withholding, except as required by applicable law.</w:t>
      </w:r>
    </w:p>
    <w:p>
      <w:r>
        <w:t>2. Closing. Closing shall occur within 30 days after execution of this Agreement, or on such other date as the parties may agree in writing. At Closing, the Buyer shall deliver the purchase price in accordance with Section 1, and the Seller shall transfer the Shares.</w:t>
      </w:r>
    </w:p>
    <w:p>
      <w:r>
        <w:t>3. Representations. The Seller represents that, to the Seller’s knowledge, the financial statements delivered to the Buyer are accurate in all material respects as of their respective dates. The Seller makes no representation or warranty other than those expressly set forth in this Agreement.</w:t>
      </w:r>
    </w:p>
    <w:p>
      <w:r>
        <w:t>4. Confidentiality. Each party shall keep confidential the terms of this Agreement and any non-public information received from the other party in connection with the transaction, and shall use such information solely for evaluating, completing, or enforcing the transaction. A party may disclose such information to its affiliates and its and their respective directors, officers, employees, financing sources, and professional advisers who are informed of its confidential nature, or as required by law or legal process. This Section does not apply to information that is or becomes publicly available other than through a breach of this Section, was already lawfully known to the receiving party, or is independently developed without use of the disclosed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