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At Closing, the Buyer shall pay the Seller USD 42,000,000 in cash for the Shares, by wire transfer of immediately available funds, subject to adjustment as set forth in this Section. The purchase price shall be increased by Closing cash and decreased by Closing indebtedness and unpaid transaction expenses, in each case determined in accordance with accounting principles and procedures to be agreed by the parties and applied consistently with the applicable financial statements. The purchase price shall also be adjusted to reflect the amount by which Closing working capital is above or below an agreed target working-capital amount, on the same accounting basis. The parties shall agree before execution on the applicable definitions, target, and post-Closing preparation, review, and dispute-resolution procedures. At Closing, the Buyer shall deposit five percent (5%) of the purchase price, as adjusted, into an escrow account with a mutually agreed escrow agent, under an escrow agreement reasonably acceptable to the parties, to secure the Seller’s indemnification obligations under Section 3. The escrow shall be released to the Seller 12 months after Closing, less amounts then subject to a timely, specifically described indemnification claim, which amounts shall remain in escrow pending resolution of that claim. The Buyer shall not set off, deduct, or withhold any amount from the purchase price or any other amount payable to the Seller, except for amounts payable from the escrow following the Seller’s written agreement or a final, non-appealable determination of the Buyer’s entitlement under Section 3, or as required by applicable law.</w:t>
      </w:r>
    </w:p>
    <w:p>
      <w:r>
        <w:t>2. Closing. Closing shall occur within 30 days after execution of this Agreement, or on such other date as the parties may agree in writing, subject to satisfaction or waiver in writing by the party entitled to the benefit thereof of the following conditions: (a) the Buyer shall have completed its due diligence review and shall have confirmed in writing that it is satisfied with the results; (b) the representations and warranties of each party shall be true and correct in all material respects as of Closing (and any representation or warranty qualified by materiality shall be true and correct in all respects), except for representations and warranties expressly made as of an earlier date; (c) each party shall have performed in all material respects its obligations required to be performed at or before Closing; and (d) no law or order shall prohibit the consummation of the transaction. At Closing, the Buyer shall deliver the purchase price, including the escrow deposit, in accordance with Section 1, and the Seller shall transfer the Shares, in each case against delivery of customary closing documents. The parties shall cooperate in good faith to complete diligence promptly and to satisfy the conditions to Closing.</w:t>
      </w:r>
    </w:p>
    <w:p>
      <w:r>
        <w:t>3. Representations; Indemnification. The Seller represents and warrants to the Buyer, as of the date of this Agreement and as of Closing (except as expressly made as of another date), that: (a) the Seller is duly organized, validly existing, and in good standing under the laws of its jurisdiction of organization and has authority to execute and perform this Agreement; (b) the Seller’s execution and performance of this Agreement have been duly authorized and do not violate its organizational documents or any material agreement binding upon it; (c) the Seller owns the Shares of record and beneficially, free and clear of liens, and the Shares constitute all of the issued and outstanding equity interests of the company and are duly authorized, validly issued, fully paid, and nonassessable; (d) the financial statements delivered to the Buyer were prepared in accordance with the accounting principles identified therein, consistently applied, and fairly present in all material respects the financial condition and results of operations reflected therein as of their respective dates and for the respective periods, subject, in the case of interim statements, to normal year-end adjustments and the absence of notes; (e) to the Seller’s knowledge, the company has no liabilities required to be reflected or reserved against in those financial statements, other than liabilities reflected or reserved against therein or incurred in the ordinary course of business since the date thereof; (f) to the Seller’s knowledge, the company has timely filed all material tax returns required to be filed and paid all material taxes due, and no material tax audit is pending or, to the Seller’s knowledge, threatened; (g) to the Seller’s knowledge, the company is in material compliance with applicable laws and no material litigation involving the company is pending or threatened; and (h) the Seller has authority to transfer good title to the Shares to the Buyer at Closing. The Seller’s representations and warranties are qualified by matters disclosed in the written disclosure schedules delivered by the Seller at or before execution. The Seller makes no representation or warranty other than those expressly set forth in this Agreement, and no representation or warranty is made as to any projection, forecast, or other forward-looking information. The Seller shall indemnify the Buyer for direct losses resulting from a breach of the Seller’s representations, warranties, or covenants, subject to the following limitations: claims for breaches of representations and warranties must be notified in reasonable detail before the date 12 months after Closing; the Seller’s aggregate liability for such claims shall not exceed the amount deposited in escrow; and the Seller shall have no liability for such claims unless aggregate covered losses exceed a deductible equal to one percent (1%) of the purchase price, in which case liability shall apply only to losses above that amount. These limitations shall not apply to fraud or intentional misrepresentation by the Seller. The Buyer’s exclusive remedy for claims covered by this Section shall be indemnification under this Section, subject to its terms and limitations. The parties shall include customary procedures for notice, defense, and resolution of indemnification claims in the definitive agreement.</w:t>
      </w:r>
    </w:p>
    <w:p>
      <w:r>
        <w:t>4. Confidentiality. Each party shall keep confidential the terms of this Agreement and any non-public information received from the other party in connection with the transaction, and shall use such information solely for evaluating, completing, or enforcing the transaction. A party may disclose such information to its affiliates and its and their respective directors, officers, employees, financing sources, and professional advisers who are informed of its confidential nature, or as required by law or legal process. This Section does not apply to information that is or becomes publicly available other than through a breach of this Section, was already lawfully known to the receiving party, or is independently developed without use of the disclosed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