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43,000,000 in immediately available funds, without setoff, counterclaim, or deduction except as expressly provided in this Agreement. The purchase price and all other terms remain subject to the Buyer’s reasonable completion of due diligence and the parties’ agreement on definitive terms.</w:t>
      </w:r>
    </w:p>
    <w:p>
      <w:r>
        <w:t>2. Closing. Closing shall occur within 30 days after the date this Agreement is signed, or on such other date as the parties may agree in writing, subject to satisfaction or waiver of the conditions to Closing set forth in this Agreement.</w:t>
      </w:r>
    </w:p>
    <w:p>
      <w:r>
        <w:t>3. Representations and Warranties. The Seller represents and warrants to the Buyer, as of the date of this Agreement and as of Closing (except as expressly stated otherwise), that: (a) the Seller is duly organized and has authority to enter into and perform this Agreement; (b) this Agreement has been duly authorized and, when executed, will be binding on the Seller, subject to customary limitations under applicable insolvency laws and equitable principles; (c) the Seller owns the Shares, free and clear of liens created by the Seller, and has authority to transfer them; and (d) the financial statements delivered to the Buyer are accurate in all material respects as of their respective dates. The Seller’s representations and warranties shall be qualified by disclosures in the disclosure schedules to be agreed by the parties. The parties shall negotiate any additional customary representations and warranties, their scope and qualifications, and applicable survival periods in the definitive agreement.</w:t>
      </w:r>
    </w:p>
    <w:p>
      <w:r>
        <w:t>7. Setoff. The Buyer may set off against amounts otherwise due to the Seller under this Agreement only amounts finally determined to be payable by the Seller to the Buyer pursuant to the definitive agreement or by a final, non-appealable judgment, in each case to the extent and subject to the procedures and limitations expressly negotiated in the definitive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