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in cash at Closing for the Shares, without setoff or counterclaim.</w:t>
      </w:r>
    </w:p>
    <w:p>
      <w:r>
        <w:t>2. Closing. Closing shall occur within 30 days after signing, or on such other date as the parties may agree in writing.</w:t>
      </w:r>
    </w:p>
    <w:p>
      <w:r>
        <w:t>3. Representations. The Seller represents that, to the Seller’s knowledge, the financial statements delivered to the Buyer are accurate in all material respects, except as set forth in the disclosures delivered by the Seller to the Buyer.</w:t>
      </w:r>
    </w:p>
    <w:p>
      <w:r>
        <w:t>4. Confidentiality. The parties shall keep the terms of this Agreement confidential and shall not disclose them except to their respective affiliates, financing sources, and representatives who need to know them and are bound by confidentiality obligations, or as required by law or a governmental authority. This provision does not restrict disclosure of information that is publicly available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