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with the amount payable at Closing in cash, subject only to any escrow or holdback expressly agreed in the definitive purchase agreement. The Buyer shall have no right to set off or withhold any amount from the purchase price or other consideration, except that the Buyer may satisfy a claim for indemnification solely from the escrow, and only to the extent the claim has been agreed in writing by the Seller or finally determined by a court of competent jurisdiction pursuant to the definitive purchase agreement.</w:t>
      </w:r>
    </w:p>
    <w:p>
      <w:r>
        <w:t>2. Closing. Closing shall occur within 30 days after signing, or on such other date as the parties may agree in writing, subject to satisfaction or written waiver by the party entitled to the benefit of each customary closing condition to be set forth in the definitive purchase agreement, including completion of the Buyer's due diligence by a date agreed by the parties and receipt of required governmental and other approvals. Due diligence shall not constitute a condition to Closing unless completed within that agreed period and to the Buyer's reasonable satisfaction. The definitive purchase agreement shall include customary covenants and conditions, with no condition permitting either party to terminate in its sole discretion.</w:t>
      </w:r>
    </w:p>
    <w:p>
      <w:r>
        <w:t>3. Representations and Indemnification. The Seller represents that, to the Seller's knowledge, the financial statements delivered to the Buyer are accurate in all material respects, have been prepared in accordance with the accounting standards applicable to them, and have been applied consistently for the periods presented, except for exceptions specifically identified in a disclosure schedule delivered before signing. The definitive purchase agreement shall contain customary representations, covenants, and indemnification provisions, including agreed survival periods, a customary deductible or basket, and an aggregate cap on the Seller's liability. Any escrow or holdback securing Seller obligations shall be limited in amount and duration as agreed by the parties in the definitive purchase agreement; it shall be the Buyer's exclusive source of recovery for indemnification claims, except in the case of fraud.</w:t>
      </w:r>
    </w:p>
    <w:p>
      <w:r>
        <w:t>4. Confidentiality. The parties shall keep the terms of this Agreement confidential and shall not disclose them except to their respective affiliates, financing sources, actual or prospective investors, and representatives and advisers who need to know them in connection with the transaction and are informed of the confidential nature of the information or are bound by confidentiality obligations, or as required by law or a governmental authority. A party may disclose information as reasonably necessary to enforce its rights under this Agreement. This provision does not restrict disclosure of information that is publicly available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