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after signing, subject to the satisfaction or waiver of the conditions to Closing set forth in this Agreement.</w:t>
      </w:r>
    </w:p>
    <w:p>
      <w:r>
        <w:t>3. Representations. To the Seller's knowledge, the financial statements made available to the Buyer are accurate in all material respects.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