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Proposed Purchase Price; Nonbinding Status. The Buyer has proposed a purchase price of USD 35,000,000 for all of the Shares (the “Proposed Purchase Price”). The Proposed Purchase Price is a proposal for discussion only, is subject to the Buyer’s completion of diligence and the parties’ agreement on all remaining terms, and is not an agreed purchase price or a binding commitment to buy or sell the Shares. No party will be obligated to consummate a transaction unless and until it executes and delivers mutually acceptable definitive written agreements. The definitive agreement will specify any adjustment to the purchase price, if agreed, and the mechanics and timing for payment. Except as expressly set forth in a separately executed binding agreement, each party bears its own transaction expenses.</w:t>
      </w:r>
    </w:p>
    <w:p>
      <w:r>
        <w:t>2. Closing; Interim Covenants; Conditions; Deliveries; Termination. If the parties execute a definitive purchase agreement, closing (the “Closing”) will occur remotely or at another place agreed by the parties on a date agreed in writing, and not automatically within 30 days after signing. From signing until Closing or termination, the Seller will cause the Company to operate in the ordinary course consistent with past practice, comply in all material respects with applicable law, and use commercially reasonable efforts to preserve its material business relationships. The Seller will provide the Buyer and its advisers reasonable access, on reasonable notice and during normal business hours, to information, personnel, and facilities for diligence, subject to applicable law, privilege, confidentiality obligations, and reasonable safeguards; diligence will not unreasonably disrupt the business. Without the Buyer’s prior written consent (not to be unreasonably withheld, conditioned, or delayed), the Seller will not cause the Company to issue Shares, declare an extraordinary distribution, or enter into a material transaction outside the ordinary course, except as required by law or expressly contemplated by the definitive agreement. Closing will be subject to customary mutually agreed conditions, including required governmental approvals and third-party consents, no injunction prohibiting the transaction, accuracy of representations at the agreed standard and times, performance in all material respects of covenants, and delivery of agreed closing documents. Buyer’s obligation will not be subject to a financing condition unless expressly agreed in the definitive agreement. At Closing, the Seller will deliver duly executed share-transfer instruments and customary evidence of title and authority; the Buyer will deliver the agreed consideration by wire transfer of immediately available funds and its executed transaction documents. The parties will also deliver customary certificates and other mutually agreed documents. A definitive agreement may provide for termination by mutual written consent, by either party if Closing has not occurred by an agreed outside date (subject to extension for specified regulatory delay), and by a non-breaching party for the other party’s material breach subject to notice and a reasonable cure period, as well as for a final non-appealable prohibition on the transaction. The definitive agreement will specify the consequences of termination and survival of any provisions intended to survive.</w:t>
      </w:r>
    </w:p>
    <w:p>
      <w:r>
        <w:t>3. Seller Representations and Warranties. Any definitive agreement will contain only such representations and warranties of the Seller as are expressly set out therein, subject to specifically negotiated materiality, knowledge, and other qualifiers, exceptions disclosed in disclosure schedules, and agreed limitations on survival and remedies. The proposed subjects include: (a) due organization, good standing, and power of the Seller and, as applicable, the Company; (b) due authorization, execution, and enforceability, subject to customary bankruptcy and equitable principles; (c) the Seller’s good title to the Shares, free of liens created by the Seller, and the Shares’ authorized and valid issuance and fully paid status, as applicable; (d) the Company’s financial statements for specified periods, prepared consistently with the stated accounting basis and fairly presenting in all material respects the financial position and results for those periods, subject to the definitive agreement’s agreed qualifications; (e) compliance in all material respects with applicable laws, subject to agreed scope and exceptions; and (f) no liabilities required under the agreed accounting basis to be reflected on the specified balance sheet, other than liabilities reflected or reserved thereon, incurred in the ordinary course since its date, executory obligations under contracts, or otherwise disclosed in the disclosure schedules. The definitive agreement will also address any other mutually agreed representations, including contracts, litigation, taxes, employees, and permits. The Seller will not make any representation or warranty other than those expressly stated in the definitive agreement, and no statement or information furnished in diligence will constitute a representation or warranty.</w:t>
      </w:r>
    </w:p>
    <w:p>
      <w:r>
        <w:t>4. Confidentiality; Indemnification; Governing Law and Disputes. The existence and terms of this draft and negotiations, and non-public information exchanged in connection with the proposed transaction, will be kept confidential and used solely to evaluate and negotiate the transaction. A party may disclose such information to its affiliates and its and their directors, officers, employees, professional advisers, auditors, and financing sources who need to know it and are bound by confidentiality obligations, and may disclose it to the extent required by law, regulation, or legal process (giving prior notice where legally permitted and reasonably practicable). The parties may make a mutually agreed public announcement; neither party will otherwise make one without the other’s prior written consent. Any separate confidentiality agreement remains in effect according to its terms and will govern in the event of inconsistency. The definitive agreement will provide for exclusive contractual indemnification for specified breaches, subject to negotiated notice, claim-control, mitigation, and cooperation procedures. A proposed framework, subject to negotiation, is a 12-month general representation survival period, a deductible basket of 1% of the final purchase price, and an aggregate cap of 10% of the final purchase price for general representation claims; specified fundamental representations may have separately negotiated survival and a higher cap, and fraud may be treated separately. No double recovery will be permitted, and recoveries will be reduced by applicable insurance or third-party proceeds, net of recovery costs. The definitive agreement will specify procedures for third-party claims, including prompt notice, control of the defense by the indemnifying party subject to customary protections, and consent requirements for settlements. Governing law and forum remain to be agreed; the definitive agreement will specify the governing law and exclusive courts or other agreed dispute-resolution mechanism, together with customary jurisdiction, venue, and jury-trial provisions as negotiated.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