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At Closing, the Buyer shall pay the Seller USD 45,000,000 in immediately available funds as consideration for the Shares.</w:t>
      </w:r>
    </w:p>
    <w:p>
      <w:r>
        <w:t>2. Closing. Subject to satisfaction or waiver of the conditions to Closing set forth in this Agreement, Closing shall occur within 30 days after the date of this Agreement, or at such other time as the parties may agree in writing.</w:t>
      </w:r>
    </w:p>
    <w:p>
      <w:r>
        <w:t>3. Representations. The Seller represents that, to the Seller’s knowledge, the financial statements delivered to the Buyer have been prepared in accordance with the accounting principles stated therein and are accurate in all material respects.</w:t>
      </w:r>
    </w:p>
    <w:p>
      <w:r>
        <w:t>4. Confidentiality. The parties shall keep the existence and terms of this Agreement confidential, except that either party may disclose them to its affiliates and its and their respective directors, officers, employees, financing sources, and professional advisers who are bound by confidentiality obligations, or as required by law, regulation, or a competent authority. A party required to make a disclosure shall, to the extent legally permitted, give the other party advance notice and reasonably cooperate in seeking confidential treatment.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