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aggregate purchase price for the Shares shall be USD 42,000,000 (the “Base Purchase Price”), subject to adjustment at Closing, dollar-for-dollar, for (a) cash of the Company as of Closing, added to the Base Purchase Price; (b) indebtedness of the Company as of Closing, deducted from the Base Purchase Price; (c) unpaid transaction expenses of the Company or Seller for which the Company is responsible, deducted from the Base Purchase Price; and (d) the amount by which Closing Working Capital exceeds the agreed working-capital target, added to the Base Purchase Price, or falls below that target, deducted from the Base Purchase Price. The parties shall agree in the definitive agreement on the working-capital target, accounting principles, calculation procedures, and a post-Closing review and dispute-resolution process. No item shall be counted more than once. The adjusted purchase price shall be paid at Closing in immediately available funds, subject to any agreed escrow or other customary holdback expressly set forth in the definitive agreement.</w:t>
      </w:r>
    </w:p>
    <w:p>
      <w:r>
        <w:t>2. Closing. Closing shall occur within 30 days after execution of the definitive agreement, or at such other time as the parties agree in writing, subject to: (a) completion by Buyer of its confirmatory due diligence, with no matter identified that would reasonably be expected to have a material adverse effect on the Company; (b) execution and delivery of mutually agreed definitive ancillary documents; (c) accuracy in all material respects of the parties’ representations and warranties, subject to agreed materiality and other qualifiers, and performance in all material respects of their covenants; (d) receipt of required governmental and third-party approvals and expiration or termination of applicable waiting periods; and (e) other customary closing conditions to be set forth in the definitive agreement. Buyer shall conduct diligence promptly and in good faith and shall notify Seller promptly of any material diligence concern. Neither party shall be required to close unless the applicable conditions are satisfied or waived in writing.</w:t>
      </w:r>
    </w:p>
    <w:p>
      <w:r>
        <w:t>3. Seller Representations. In the definitive agreement, Seller shall make customary representations and warranties, subject to negotiated qualifications, exceptions, and disclosure schedules, concerning: (a) Seller’s organization, authority, and enforceability; (b) the Company’s organization and authority; (c) capitalization, ownership of and good title to the Shares, free of liens created by Seller; (d) the financial statements delivered to Buyer, prepared in accordance with the accounting principles stated therein and fairly presenting in all material respects the financial condition and results reflected therein; (e) absence of undisclosed liabilities, subject to customary exceptions for liabilities reflected or reserved in the financial statements, incurred in the ordinary course since their date, or otherwise disclosed; (f) material contracts; (g) compliance with applicable law; (h) litigation; (i) taxes; (j) employees and employee benefit matters; and (k) brokers. The scope of each representation, including knowledge, materiality, time-period, and ordinary-course qualifications, and the contents of the disclosure schedules, shall be negotiated in the definitive agreement. No representation or warranty shall be made except as expressly set forth in that agreement.</w:t>
      </w:r>
    </w:p>
    <w:p>
      <w:r>
        <w:t>6. Covenants and Remedies. The definitive agreement shall include customary interim operating covenants, including an obligation for Seller to cause the Company to operate in the ordinary course between signing and Closing, subject to agreed exceptions and Buyer’s consent rights, which shall not be unreasonably withheld, conditioned, or delayed. It shall also include customary efforts, access, cooperation, and transaction-announcement covenants. Remedies for breach shall be as set forth in the definitive agreement, including any agreed right to seek specific performance and the indemnification remedies and limitations described therein.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