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cash by wire transfer of immediately available funds to an account designated by the Seller.</w:t>
      </w:r>
    </w:p>
    <w:p>
      <w:r>
        <w:t>2. Closing. Subject to the satisfaction or waiver of the conditions to Closing set forth in this Agreement, Closing shall occur within 30 days after the date of this Agreement, or on such other date as the parties may agree in writing.</w:t>
      </w:r>
    </w:p>
    <w:p>
      <w:r>
        <w:t>3. Representations. The Seller represents that, to the Seller’s knowledge, the financial statements delivered to the Buyer are accurate in all material respects as of their respective dates, subject to the matters fairly disclosed in those financial statements.</w:t>
      </w:r>
    </w:p>
    <w:p>
      <w:r>
        <w:t>4. Confidentiality. Each party shall keep confidential the terms of this Agreement and the other party’s confidential information, and shall not disclose such information except to its representatives who need to know it and are bound by confidentiality obligations, as required by law or legal process, or with the other party’s written consent. This clause does not restrict disclosures of information that is or becomes publicly available other than through a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