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45,000,000 in cash by wire transfer of immediately available funds to an account designated by the Seller, subject to adjustment for Company indebtedness, Company cash, unpaid transaction expenses, and working capital relative to a target working-capital amount, in each case as of Closing and calculated in accordance with accounting principles and procedures, and a target amount, to be mutually agreed by the parties and set forth in this Agreement. The parties shall cooperate in good faith to prepare and resolve any closing statement in accordance with procedures to be agreed in this Agreement. At Closing, USD 2,250,000 of the otherwise payable consideration shall be deposited with an escrow agent under an escrow agreement mutually agreed by the parties, to secure the Seller’s indemnification obligations, and shall be released to the Seller 12 months after Closing, less any amounts subject to a timely, good-faith claim made in accordance with the escrow agreement. The escrow shall be the Buyer’s sole source of recovery for indemnification claims, subject to the agreed terms of this Agreement.</w:t>
      </w:r>
    </w:p>
    <w:p>
      <w:r>
        <w:t>2. Closing. Closing shall occur within 30 days after the date of this Agreement, or on such other date as the parties may agree in writing, subject to satisfaction or waiver by the party for whose benefit the applicable condition exists of the following conditions: (a) completion by the Buyer, no later than 30 days after the date of this Agreement, of its confirmatory due diligence, with no material issue identified that would reasonably be expected to prevent the Buyer from consummating the transactions contemplated by this Agreement; (b) receipt of all required governmental and other third-party approvals; and (c) the other customary conditions expressly set forth in this Agreement. Any condition requiring a party’s satisfaction shall be applied reasonably and in good faith. If Closing has not occurred by the date that is 60 days after the date of this Agreement (the “Outside Date”), either party may terminate this Agreement by written notice to the other party, provided that a party may not terminate under this sentence if its material breach of this Agreement was the primary cause of the failure to close by the Outside Date. The parties may extend the Outside Date by written agreement.</w:t>
      </w:r>
    </w:p>
    <w:p>
      <w:r>
        <w:t>3. Representations and Indemnification. The Seller represents that, except as specifically and fairly disclosed in the disclosure schedule delivered by the Seller to the Buyer in connection with this Agreement (the “Disclosure Schedule”), (a) the Seller has authority to enter into and perform this Agreement, and (b) to the Seller’s knowledge, the financial statements of the Company delivered to the Buyer were prepared in accordance with the accounting principles stated therein and fairly present, in all material respects, the financial condition and results of operations of the Company as of the dates and for the periods indicated therein. The Seller makes no representation or warranty except as expressly set forth in this Agreement. The Buyer’s remedy for a breach of the Seller’s representations shall be indemnification subject to the limitations, procedures, thresholds, caps, survival periods, and exclusive-remedy provisions to be set forth in this Agreement, including recovery solely from the escrow for such claims. The parties shall negotiate customary indemnification provisions consistent with these limitations.</w:t>
      </w:r>
    </w:p>
    <w:p>
      <w:r>
        <w:t>4. Confidentiality. Each party shall keep confidential the terms of this Agreement and the other party’s confidential information, and shall not disclose such information except to its representatives who need to know it and are bound by confidentiality obligations, as required by law or legal process, or with the other party’s written consent. This clause does not restrict disclosures of information that is or becomes publicly available other than through a breach of this Agreement, was already known to the receiving party without a duty of confidentiality, is independently developed without use of or reference to the disclosing party’s confidential information, or is lawfully received from another source not, to the receiving party’s knowledge, under a duty to keep it confidential. The Buyer may disclose confidential information to its actual and prospective financing sources and their representatives, in each case solely for purposes of the transaction and subject to confidentiality obligations at least as protective as those in this clause. A party required by law or legal process to disclose confidential information may do so, and shall, to the extent legally permitted, give the other party prompt prior notice and reasonably cooperate, at the other party’s expense, in seeking to limit the disclosure.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