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without setoff, deduction or withholding (except as required by applicable law). The Purchase Price shall not be subject to adjustment.</w:t>
      </w:r>
    </w:p>
    <w:p>
      <w:r>
        <w:t>2. Closing. Closing shall occur within 20 business days after signing, or at such other time as the parties may agree in writing.</w:t>
      </w:r>
    </w:p>
    <w:p>
      <w:r>
        <w:t>3. Representations. The Seller represents that, to the Seller’s knowledge, the financial statements made available to the Buyer have been prepared in all material respects in accordance with the accounting principles used in their preparation and fairly present in all material respects the financial position and results of operations reflected therein, subject to the qualifications and disclosures set forth in the applicable disclosure schedules.</w:t>
      </w:r>
    </w:p>
    <w:p>
      <w:r>
        <w:t>4. Confidentiality. Each party shall keep confidential the terms of this Agreement and non-public information received from the other party in connection with the transactions contemplated hereby, and shall not disclose such information except to its affiliates and its and their respective representatives who need to know it and are bound by confidentiality obligations, or as required by law, regulation or court order (in which case, to the extent legally permitted, the disclosing party shall give prior notice and reasonably cooperate with efforts to limit disclosure). This Section does not restrict information that is or becomes publicly available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