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Closing Adjustment. At Closing, the Buyer shall pay the Seller USD 42,000,000 in cash by wire transfer of immediately available funds (the “Closing Payment”), subject to adjustment as set forth in this Section. The Closing Payment shall be adjusted dollar-for-dollar for (a) the Company’s cash, (b) indebtedness, (c) transaction expenses, and (d) working capital above or below an agreed target working capital amount, in each case as of the Closing and determined in accordance with accounting principles and illustrative calculations to be agreed by the parties. The Seller shall deliver a good-faith estimated closing statement before Closing, and the parties shall prepare and review a post-Closing statement under procedures to be set forth in the definitive agreement, including reasonable access to relevant books and records and a period for review and objections. Any disputed items not resolved by the parties shall be submitted to an independent accounting firm for final determination, acting as an expert and not an arbitrator, within the limits of the parties’ submissions. Any resulting payment shall be made promptly after final determination. No amount may be recovered more than once, and no party may set off amounts except for amounts payable under this agreed adjustment process or indemnification provisions as finally agreed in the definitive agreement.</w:t>
      </w:r>
    </w:p>
    <w:p>
      <w:r>
        <w:t>2. Closing. Closing shall occur following completion of the Buyer’s due diligence and satisfaction or waiver of the conditions to Closing set forth in the definitive agreement, with a target of 45 business days after signing. The parties shall cooperate in good faith to complete diligence, documentation, and the Closing promptly. The target date is not an unconditional closing deadline, and Closing shall occur at such other time as the parties may agree in writing or as provided in the definitive agreement.</w:t>
      </w:r>
    </w:p>
    <w:p>
      <w:r>
        <w:t>3. Seller Representations and Warranties. Subject to the negotiated disclosure schedules and customary materiality, knowledge, and other agreed qualifications, the Seller shall make customary representations and warranties regarding the Company’s organization and good standing, authority and enforceability, capitalization, financial statements, absence of undisclosed liabilities, compliance with applicable law, material contracts, taxes, employees and employee matters, litigation, and brokers. The financial-statement representation shall cover the financial statements identified in the disclosure schedules and state that they were prepared in all material respects in accordance with the accounting principles used in their preparation and fairly present in all material respects the financial position and results of operations reflected therein, subject to the qualifications and disclosures set forth in the applicable disclosure schedules. The scope, qualifiers, and exceptions to these representations and warranties remain subject to negotiation and inclusion in the definitive agreement and disclosure schedules.</w:t>
      </w:r>
    </w:p>
    <w:p>
      <w:r>
        <w:t>5. Indemnification. The definitive agreement shall provide for customary Seller indemnification for losses arising from breaches of the Seller’s representations, warranties, and covenants, subject to negotiated survival periods, caps, baskets, exclusions, and procedures. As a basis for negotiation, general representations and warranties shall survive for 18 months after Closing, with a 1% of the Purchase Price deductible basket and an aggregate cap of 10% of the Purchase Price; specified fundamental representations and any other agreed categories may be subject to separately negotiated survival periods and caps. No consequential, punitive, special, or exemplary damages, or damages based on a multiple of earnings or other valuation measure, shall be recoverable except to the extent actually awarded to a third party or otherwise expressly agreed. The definitive agreement shall address mitigation, exclusive remedies, and procedures for third-party claims, and shall prevent duplicate recovery. These provisions do not limit the Buyer’s rights under the agreed purchase price adjustment process or indemnification provisions, subject to their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