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At Closing, the Buyer shall pay the Seller USD 45,000,000 in cash by wire transfer of immediately available funds, without setoff, deduction, or counterclaim.</w:t>
      </w:r>
    </w:p>
    <w:p>
      <w:r>
        <w:t>2. Closing. Closing shall occur within 30 days after signing, at a time and place (including by electronic exchange of documents and funds) agreed by the parties. At Closing, the Buyer shall pay the Purchase Price in accordance with Section 1, and the Seller shall transfer the Shares against receipt of such payment.</w:t>
      </w:r>
    </w:p>
    <w:p>
      <w:r>
        <w:t>3. Representations. The Seller represents that, to the Seller’s knowledge, the financial statements delivered to the Buyer are accurate in all material respects as of their respective dates. The Seller makes no representation concerning any financial projections or other forward-looking information.</w:t>
      </w:r>
    </w:p>
    <w:p>
      <w:r>
        <w:t>4. Confidentiality. Each party shall keep confidential the existence and terms of this Agreement and information received from the other party in connection with the transaction, and shall not disclose such information except to its representatives who need to know it and are bound by confidentiality obligations, with the other party’s prior written consent, or as required by law (in which case, to the extent legally permitted, the disclosing party shall give prior notice).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