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aggregate purchase price for the Shares shall be USD 42,000,000 (the “Base Purchase Price”), subject to adjustment at Closing, dollar for dollar, for (a) the Company’s indebtedness as of Closing, less (b) the Company’s cash as of Closing, and (c) the amount, if any, by which working capital as of Closing is below an agreed working-capital target, or increased by the amount, if any, by which it exceeds that target. The parties shall agree in the definitive agreement on the definitions, accounting principles, target, and procedures for preparing and resolving the closing statement. At Closing, Buyer shall pay the Seller the adjusted purchase price less an amount equal to 10% of the Base Purchase Price, which amount shall be deposited with an independent escrow agent under mutually agreed escrow terms and held for 12 months after Closing. The escrow shall be the sole source of recovery for indemnification claims, except for claims involving fraud, and any release of escrow shall be subject to those terms. Buyer may set off against the escrow only amounts agreed in writing by Seller or finally determined to be payable under the definitive agreement; no setoff shall be made against other amounts payable to Seller. The purchase price and adjustments shall not be subject to any other deduction, setoff, or adjustment.</w:t>
      </w:r>
    </w:p>
    <w:p>
      <w:r>
        <w:t>2. Closing. Closing shall occur within 30 days after execution of the definitive agreement, subject to satisfaction or waiver of the conditions set out in that agreement, including completion of Buyer’s due diligence to its reasonable satisfaction, satisfaction of customary closing conditions, and delivery of agreed closing documents. The parties shall cooperate in good faith to complete diligence and satisfy the closing conditions promptly. If a condition remains unsatisfied despite the parties’ good-faith efforts, the Closing date shall be extended for the period reasonably necessary to satisfy or waive that condition, but in no event beyond an outside date to be agreed in the definitive agreement. At Closing, Buyer shall pay the amount due under Section 1 (net of the escrow deposit and agreed adjustments), and Seller shall transfer the Shares against receipt of such payment and delivery of the agreed closing documents.</w:t>
      </w:r>
    </w:p>
    <w:p>
      <w:r>
        <w:t>3. Representations; Indemnification. The definitive agreement shall include customary representations and warranties by Seller, appropriately qualified by materiality, specified exceptions, and, where appropriate, Seller’s knowledge, covering Seller’s organization, authority and enforceability; title to the Shares; capitalization; financial statements; absence of undisclosed liabilities; taxes; material contracts; compliance with law; litigation; employees; and brokers. The financial-statement representation shall not be qualified by Seller’s knowledge and shall address that the statements delivered to Buyer were prepared on a consistent basis in accordance with the accounting principles specified in the definitive agreement and fairly present, in all material respects, the financial condition and results reflected therein, subject to any stated qualifications and disclosures. The definitive agreement shall contain customary survival periods, claim procedures, and indemnification for losses arising from breaches of representations, warranties, and covenants, with customary negotiated baskets and caps and the escrow as the agreed source of recovery, except as otherwise agreed for fraud. Any fraud exception shall apply only to the party committing such fraud and shall not expand liability for innocent parties. The parties shall agree the specific scope and limitations of the representations, indemnification, and any disclosure schedules in the definitive agreement.</w:t>
      </w:r>
    </w:p>
    <w:p>
      <w:r>
        <w:t>4. Confidentiality. Each party shall keep confidential the existence and terms of this Agreement and information received from the other party in connection with the transaction, and shall use such information only for evaluating, negotiating, and consummating the transaction. A party may disclose such information to its representatives, financing sources, and professional advisers who need to know it for that purpose and are bound by confidentiality obligations. These restrictions do not apply to information that is or becomes publicly available other than through a breach of this Section, was already lawfully known to the receiving party without a duty of confidentiality, or is independently obtained or developed without use of the confidential information. If disclosure is required by law or legal process, the disclosing party may disclose only the portion legally required and, to the extent legally permitted, shall give the other party prior notice and reasonably cooperate in seeking confidential treatment. Any other disclosure requires the other party’s prior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