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in cash at Closing by wire transfer of immediately available funds to an account designated by the Seller. The Purchase Price shall not be subject to adjustment, setoff, or deduction except as expressly agreed in writing by the parties.</w:t>
      </w:r>
    </w:p>
    <w:p>
      <w:r>
        <w:t>2. Closing. Closing shall occur remotely, or at another place agreed by the parties, within 30 days after signing, subject to satisfaction or waiver of the conditions to Closing set forth in this Agreement. Each party shall use commercially reasonable efforts to take the actions required of it to consummate the transactions contemplated by this Agreement promptly.</w:t>
      </w:r>
    </w:p>
    <w:p>
      <w:r>
        <w:t>3. Representations. The Seller represents that, to the Seller’s knowledge, the financial statements included in the disclosure materials were prepared in all material respects in accordance with the accounting principles stated therein and fairly present, in all material respects, the financial condition of the business as of the dates indicated, subject to the qualifications and exceptions set forth in the disclosure schedules.</w:t>
      </w:r>
    </w:p>
    <w:p>
      <w:r>
        <w:t>4. Confidentiality. The parties shall keep the existence and terms of this Agreement confidential and shall not disclose them to any person without the other party’s prior written consent, except to their respective affiliates, financing sources, and representatives who need to know and are bound by confidentiality obligations, or as required by applicable law, regulation, or legal process. A party required to make a disclosure shall, to the extent legally permitted, give the other party prompt notice and reasonably cooperate in seeking confidential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