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purchase price for the Shares shall be USD 45,000,000, subject to customary purchase-price adjustments for cash, indebtedness, and working capital, calculated as of Closing in accordance with agreed principles and procedures. The parties will negotiate in good faith the detailed adjustment mechanics, including any applicable estimate, post-Closing calculation, review, and dispute-resolution process.</w:t>
      </w:r>
    </w:p>
    <w:p>
      <w:r>
        <w:t>2. Closing; Conditions; Covenants; Termination. Closing shall occur within 30 days after signing, subject to satisfaction or waiver of customary closing conditions, including required regulatory approvals, performance of the parties’ obligations, and the accuracy of representations and warranties as specified in the definitive agreement. The definitive agreement shall include customary interim operating covenants and cooperation obligations. Either party may terminate in customary circumstances, including by mutual written agreement, for an uncured material breach, or if Closing has not occurred by an agreed outside date, subject to customary limitations and consequences.</w:t>
      </w:r>
    </w:p>
    <w:p>
      <w:r>
        <w:t>3. Representations; Indemnification. The definitive agreement shall contain detailed representations and warranties customary for a transaction of this nature, including with respect to organization, authority, capitalization, financial statements, absence of specified changes, compliance with law, litigation, taxes, employees, material contracts, assets, and brokers, with appropriate disclosure schedules and negotiated materiality and knowledge qualifiers. The parties shall agree customary survival periods, caps, baskets, and other limitations, together with indemnification procedures and appropriate escrow or other security for specified Seller indemnification obligations. The financial statements and supporting information for diligence will be provided separately through the agreed diligence process, subject to applicable confidentiality protections.</w:t>
      </w:r>
    </w:p>
    <w:p>
      <w:r>
        <w:t>4. Confidentiality. The existence and terms of this Agreement and information exchanged in connection with the transaction shall be kept confidential and used only for evaluating and consummating the transaction, subject to customary exceptions for disclosures required by law, to a party’s representatives who are bound by confidentiality obligations, or with the other party’s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