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purchase price for the Shares shall be USD 45,000,000, subject to customary purchase-price adjustments determined through a closing accounts mechanism for cash, indebtedness and working capital, against agreed target levels and in accordance with accounting principles and procedures to be set out in this Agreement. The purchase price and related mechanics remain subject to satisfactory diligence, agreement on the final transaction structure, and execution of definitive documentation.</w:t>
      </w:r>
    </w:p>
    <w:p>
      <w:r>
        <w:t>2. Closing. Closing shall occur remotely on a date agreed by the parties, subject to satisfaction or waiver (where legally permissible) of customary conditions precedent, including required regulatory and third-party approvals, accuracy of the representations and warranties as qualified by the disclosure schedules, and performance in all material respects of each party’s covenants. At Closing, the Seller shall deliver instruments transferring the Shares and customary closing certificates and other agreed deliverables, and the Buyer shall pay the estimated purchase price, subject to the post-closing adjustment. The parties shall agree a long-stop date in the definitive Agreement; if Closing has not occurred by that date, either party may terminate in accordance with the agreed termination provisions.</w:t>
      </w:r>
    </w:p>
    <w:p>
      <w:r>
        <w:t>3. Representations; Indemnification. The definitive Agreement shall include customary representations and warranties of the Seller and Buyer, appropriately qualified by agreed disclosure schedules. The Seller’s representations and warranties shall cover, among other customary matters, organization and authority, title to the Shares, financial statements, material contracts, compliance with law, litigation, employees, taxes, and specified assets and liabilities. The Agreement shall provide customary indemnification procedures, including notice and defense of third-party claims, agreed survival periods, a negotiated basket and cap, and customary exclusions and limitations. Limitations shall not apply to fraud, subject to the agreed definition and applicable law. The scope, qualifications, schedules, survival periods, basket, cap, and other limitations remain subject to negotiation.</w:t>
      </w:r>
    </w:p>
    <w:p>
      <w:r>
        <w:t>4. Confidentiality. The terms of this Agreement and information exchanged in connection with the transaction shall be kept confidential, except for disclosures required by applicable law or legal process, disclosures to a party’s professional advisers and financing sources who are subject to confidentiality obligations, or disclosures otherwise agreed in writing by the parties. A party making a legally required disclosure shall, to the extent legally permitted, give the other party prior notice and reasonably cooperate on any request for confidential treatment.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