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Adjustment. The aggregate purchase price for the Shares shall be USD 45,000,000 (the “Purchase Price”), subject to adjustment dollar-for-dollar for the amount by which Closing Working Capital is greater or less than the agreed Target Working Capital, and to the other adjustments expressly set forth in this Agreement. The parties shall agree before signing on the applicable accounting principles, illustrative calculation, and dispute-resolution procedure. The Purchase Price shall be reduced by Company indebtedness outstanding at Closing and increased by Company cash at Closing, in each case as defined and calculated under the agreed funds-flow and accounting procedures, without duplication. The Seller shall not cause any prohibited leakage between signing and Closing, other than expressly permitted leakage identified in this Agreement. The parties shall negotiate the definitions, permitted leakage, calculation mechanics, and any escrow or holdback in good faith.</w:t>
      </w:r>
    </w:p>
    <w:p>
      <w:r>
        <w:t>2. Closing. Closing shall occur within 30 days after signing, or on such other date as the parties agree in writing, subject to (a) satisfaction or waiver, to the extent legally permissible, of the conditions to Closing set forth in this Agreement and (b) completion of the Buyer’s due diligence. The parties shall cooperate in good faith to pursue diligence and satisfaction of the conditions promptly. The Closing date shall be extended as reasonably necessary to permit satisfaction or waiver of those conditions, subject to any applicable termination right.</w:t>
      </w:r>
    </w:p>
    <w:p>
      <w:r>
        <w:t>3. Seller Representations and Warranties. The Seller represents and warrants, as of signing and as of Closing (except for representations expressly made as of a specified date), that: (a) the Seller is duly organized, validly existing, and has power and authority to enter into and perform this Agreement; (b) execution and performance have been duly authorized and do not violate the Seller’s organizational documents or any material agreement or law applicable to the Seller; (c) the Shares constitute all of the issued and outstanding equity interests of the Company, are duly authorized, validly issued, fully paid and nonassessable, and the Seller has good title to them, free of liens other than permitted liens; (d) the financial statements delivered to Buyer were prepared in accordance with the accounting principles specified in this Agreement and fairly present, in all material respects, the Company’s financial position and results for the periods covered; (e) except as reflected, reserved against, or disclosed in the financial statements or disclosure schedules, the Company has no material liabilities required to be reflected under those accounting principles; (f) the Company has filed all material tax returns required to be filed and paid all material taxes due, subject to applicable extensions and good-faith contests disclosed to Buyer; (g) the Company is not in material breach of any material contract, and, to Seller’s knowledge, no counterparty is in material breach thereof; (h) there is no pending litigation against the Company that would reasonably be expected to be material to the Company, and, to Seller’s knowledge, none has been threatened in writing; (i) the Company is in material compliance with applicable employment laws with respect to its employees, and all material compensation obligations due have been paid or accrued; (j) the Company is in compliance in all material respects with laws applicable to its operation; and (k) no broker or finder is entitled to a fee from Buyer or the Company as a result of arrangements made by Seller. The representations shall be qualified by matters fairly disclosed in the disclosure schedules and by agreed materiality and knowledge qualifiers. The parties shall agree the form and scope of disclosure schedules before execution.</w:t>
      </w:r>
    </w:p>
    <w:p>
      <w:r>
        <w:t>8. Indemnification. Subject to definitive documentation and the limitations below, Seller shall indemnify Buyer for direct losses arising from breach of Seller’s representations, warranties, or covenants. Claims for general representations shall survive for 18 months after Closing; claims for fundamental representations (organization, authority, capitalization, and title to Shares) and tax matters shall survive for the applicable limitation period, subject to an agreed outside limit. No claim may be brought unless covered losses exceed an agreed basket, with recovery from the first dollar once an agreed deductible basket is exceeded. Seller’s aggregate liability for general representation claims shall be capped at an agreed percentage of the Purchase Price; fundamental representation and tax claims shall be subject to a separate, higher cap, not exceeding the Purchase Price, except as otherwise agreed. Covenants shall survive for the period stated in them or, if none, 18 months. No party shall recover duplicative damages or consequential, punitive, special, or exemplary damages, except to the extent actually awarded to a third party. Indemnification shall be the exclusive remedy after Closing, except for fraud, intentional misconduct, or equitable relief. Nothing herein limits liability for fraud; the parties shall agree the applicable standard and attribution.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