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at Closing.</w:t>
      </w:r>
    </w:p>
    <w:p>
      <w:r>
        <w:t>2. Closing. Closing shall occur within 45 days after signing, subject to receipt of required governmental approvals, the absence of any law or order prohibiting Closing, and the parties’ material performance of their pre-Closing obligations. The Seller shall provide reasonable access to records and personnel for the Buyer to complete confirmatory due diligence during the first 20 days after signing. The Buyer may terminate by written notice within that period if it identifies a material adverse matter not fairly disclosed before signing, specifying that matter in reasonable detail; otherwise, due diligence shall not be a condition to Closing.</w:t>
      </w:r>
    </w:p>
    <w:p>
      <w:r>
        <w:t>3. Seller Representations and Indemnification. Except as fairly disclosed in writing to the Buyer before signing, the Seller represents at signing and at Closing that: (a) the Seller owns the Shares free of liens and has authority to transfer them; (b) the Company has no material liabilities other than those reflected or reserved for in the financial statements provided to the Buyer or incurred in the ordinary course thereafter; (c) the Company has filed all material tax returns required to be filed and paid all material taxes due, other than taxes contested in good faith with adequate reserves; (d) there is no pending litigation, or litigation threatened in writing and known to the Seller, that would reasonably be expected to be material to the Company; and (e) the financial statements provided to the Buyer fairly present, in all material respects, the Company’s financial position and results for their respective periods, and any financial statements provided before Closing will meet that standard as of their respective dates. The Seller shall indemnify the Buyer for losses arising from a breach of these representations, subject to a claim deadline of 18 months after Closing and an aggregate cap of 10% of the Purchase Price, except that claims for fraud or breach of the representation in clause (a) shall not be subject to that cap.</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