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w:t>
      </w:r>
    </w:p>
    <w:p>
      <w:r>
        <w:t>2. Due Diligence and Closing. For 15 business days after signing, the Seller shall provide the Buyer reasonable access, on reasonable notice during normal business hours, to the Company's records and personnel for confirmatory due diligence, subject to applicable law and confidentiality obligations. The Buyer may terminate this Agreement by written notice before the end of that period if its due diligence identifies a material adverse matter not disclosed to it before signing; the notice must describe the matter in reasonable detail. Closing shall occur within 30 days of signing, subject to receipt of required regulatory approvals, the absence of any legal prohibition on closing, and the accuracy in all material respects at closing of each party's representations and its performance in all material respects of its pre-closing obligations. The parties shall cooperate in good faith to satisfy these conditions promptly.</w:t>
      </w:r>
    </w:p>
    <w:p>
      <w:r>
        <w:t>3. Representations. The Seller represents that the financial statements fairly present, in all material respects, the financial position and results of operations of the Company for the periods indicated.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