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At Closing, the Buyer shall pay the Seller USD 42,000,000 in immediately available funds for the Shares, subject only to adjustments expressly agreed in this Agreement.</w:t>
      </w:r>
    </w:p>
    <w:p>
      <w:r>
        <w:t>2. Closing. Closing shall occur on the fifth business day after satisfaction or waiver of the conditions in this Section, or on another date agreed in writing. Each party’s obligation to close is conditioned on receipt of required regulatory and corporate approvals, the absence of an order prohibiting the transaction, and the other party’s material compliance with its obligations and representations under this Agreement. The Buyer’s obligation is also conditioned on completion of its financial and legal due diligence to its reasonable satisfaction, provided that it conducts such diligence promptly and in good faith and notifies the Seller in writing of any material concerns. The parties shall use commercially reasonable efforts to satisfy the conditions and agree in the definitive agreement on an outside date and the consequences of a condition remaining unsatisfied.</w:t>
      </w:r>
    </w:p>
    <w:p>
      <w:r>
        <w:t>3. Representations; Disclosure; Indemnification. Subject to specifically identified exceptions in disclosure schedules delivered before signing, the Seller shall give customary representations concerning its authority and title to the Shares and, to the Seller’s knowledge where appropriate, the Company’s organization, capitalization, financial statements, material contracts, compliance with law, litigation, taxes, and absence of undisclosed material liabilities. The Buyer shall give customary representations concerning its authority, financing, and ability to consummate the transaction. Before signing, the Seller shall make available financial statements and reasonably requested disclosure materials through a confidential diligence process. The definitive agreement shall provide reciprocal indemnification for breaches of representations, warranties, and covenants, subject to customary notice and defense procedures and negotiated survival periods, thresholds, caps, and exclusions.</w:t>
      </w:r>
    </w:p>
    <w:p>
      <w:r>
        <w:t>4. Confidentiality. The terms of this Agreement and nonpublic information provided in connection with the transaction shall be confidential, except for disclosures to a party’s advisers, financing sources, or regulators on a need-to-know basis, or as required by law. Each party shall be responsible for confidentiality compliance by its recipients, subject to any separate confidentiality agreement between the parties.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