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w:t>
      </w:r>
    </w:p>
    <w:p>
      <w:r>
        <w:t>2. Closing. Closing shall occur within 30 days of signing.</w:t>
      </w:r>
    </w:p>
    <w:p>
      <w:r>
        <w:t>3. Representations. The Seller represents that the financial statements delivered to the Buyer fairly present, in all material respects, the financial position of the Company as of their respective dates and its results of operations for the periods covered, in accordance with the accounting principles stated in those financial statements, consistently applied, except as disclosed in the notes thereto.</w:t>
      </w:r>
    </w:p>
    <w:p>
      <w:r>
        <w:t>4. Confidentiality. The terms of this Agreement are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