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w:t>
      </w:r>
    </w:p>
    <w:p>
      <w:r>
        <w:t>2. Closing. Closing shall occur within 30 days of signing, subject to satisfaction or waiver by the Buyer of the following conditions: (a) the Seller’s representations are true and correct at Closing, except for inaccuracies that, individually or in the aggregate, would not have a material adverse effect on the Company; (b) the Seller has performed its pre-Closing obligations in all material respects; and (c) since signing, no material adverse change has occurred in the Company’s business, assets, financial condition or results of operations, taken as a whole. A material adverse change excludes effects arising from general economic or industry conditions, changes in law or accounting principles, or the announcement of this transaction, except to the extent such effects disproportionately affect the Company relative to comparable businesses.</w:t>
      </w:r>
    </w:p>
    <w:p>
      <w:r>
        <w:t>3. Representations and Disclosure Schedules. Except as set forth in the disclosure schedules delivered with this Agreement, the Seller represents that: (a) it has authority to enter into and perform this Agreement and owns the Shares free of liens other than restrictions under applicable securities laws; and (b) the financial statements delivered to the Buyer were prepared in accordance with the accounting principles stated in those financial statements, consistently applied, and fairly present the Company’s financial position as of their respective dates and its results of operations for the periods covered, except as disclosed in the notes thereto. The disclosure schedules shall identify exceptions by reference to the applicable representation; a disclosure shall also qualify another representation where its relevance to that representation is reasonably apparent on its face.</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