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40,000,000 for the Shares at Closing.</w:t>
      </w:r>
    </w:p>
    <w:p>
      <w:r>
        <w:t>2. Closing. Closing shall occur within five business days after satisfaction or waiver of the conditions below, and in any event no later than 90 days after signing unless the parties agree otherwise. Closing is subject to (a) the Buyer completing due diligence within 30 days after signing and identifying no material adverse matter not fairly disclosed before signing; (b) receipt of required governmental and third-party approvals; and (c) customary conditions, including the accuracy in all material respects of the parties’ representations and performance in all material respects of their pre-Closing obligations. Each party shall use commercially reasonable efforts to satisfy the conditions promptly. A party may terminate if Closing has not occurred by the outside date, unless its material breach caused the delay.</w:t>
      </w:r>
    </w:p>
    <w:p>
      <w:r>
        <w:t>3. Representations and Indemnity. Subject to matters fairly disclosed in schedules to this Agreement, the Seller represents and warrants that: (a) it has good title to the Shares, free of liens other than those released at Closing; (b) the financial statements provided to the Buyer fairly present, in all material respects, the Company’s financial position and results for the periods stated; (c) the Company has no material liabilities other than those reflected or reserved for in those statements, incurred in the ordinary course since their date, or disclosed in the schedules; (d) the Company has filed all material tax returns and paid all material taxes due, except amounts contested in good faith and adequately reserved; and (e) the Company complies in all material respects with applicable law. The Seller shall indemnify the Buyer for losses arising from a breach of these representations, subject to customary limitations to be agreed, including a survival period, basket, cap, and exclusions for losses already reflected in the purchase price or otherwise recovered.</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