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 subject to a customary dollar-for-dollar adjustment for the Company’s cash, indebtedness and working capital at Closing against agreed reference amounts. The parties shall agree the reference amounts and consistent accounting principles before signing. The Seller shall deliver an estimated closing statement before Closing; the Buyer shall deliver a proposed final statement within 60 days after Closing. Any disputed amount shall be referred to an independent accountant jointly appointed by the parties, whose determination shall be final absent manifest error. Payment of the resulting adjustment shall be made within five business days after the final statement is agreed or determined.</w:t>
      </w:r>
    </w:p>
    <w:p>
      <w:r>
        <w:t>2. Closing. Closing shall occur by electronic exchange within 30 days after signing, or on another date agreed in writing. At Closing, the Seller shall deliver duly executed instruments transferring the Shares free of liens, customary corporate approvals and the agreed closing deliverables; the Buyer shall pay the estimated purchase price by wire transfer of immediately available funds. Each party’s obligation to close is conditioned on the other party’s material performance of its pre-Closing obligations, the accuracy in all material respects of its representations at Closing, receipt of required regulatory approvals, and the absence of an order prohibiting Closing. Before signing, the Buyer may conduct reasonable diligence using the materials made available by the Seller, subject to confidentiality obligations. Any additional diligence condition must identify specific outstanding requests and an agreed deadline; signing this Agreement shall not create a general condition based on the Buyer’s subjective satisfaction with diligence.</w:t>
      </w:r>
    </w:p>
    <w:p>
      <w:r>
        <w:t>3. Representations and Disclosure Schedules. Subject to the disclosure schedules delivered with this Agreement, the Seller represents and warrants at signing and Closing that: (a) it has authority to enter into and perform this Agreement; (b) it owns the Shares and can transfer them free of liens; (c) the Company is duly organized and authorized to conduct its business; (d) the Company’s financial statements fairly present, in all material respects, its financial position and results for the periods covered, in accordance with the accounting principles stated in those statements; (e) since the date of the latest financial statements, the Company has conducted its business in the ordinary course and has not suffered a material adverse change; and (f) except as set out in the disclosure schedules, the Company is in material compliance with applicable law and has no material undisclosed liabilities, litigation, tax disputes or defaults under material contracts. Each scheduled exception shall identify the representation to which it relates and provide reasonable detail. The Buyer represents and warrants that it has authority to enter into and perform this Agreement and has funds available to pay the purchase price at Closing.</w:t>
      </w:r>
    </w:p>
    <w:p>
      <w:r>
        <w:t>4. Confidentiality; Indemnification and Remedies. The parties shall keep the terms of this Agreement and diligence information confidential, except for disclosures required by law or to advisers and financing sources bound by confidentiality obligations. After Closing, the Seller shall indemnify the Buyer for losses arising from a breach of the Seller’s representations, warranties or covenants, and the Buyer shall indemnify the Seller for losses arising from a breach of the Buyer’s representations, warranties or covenants. Claims for breaches of general representations must be notified within 18 months after Closing; claims concerning title to the Shares, authority or taxes survive for the applicable statutory limitation period. General representation claims are subject to an aggregate basket equal to 1% of the purchase price, recoverable only to the extent losses exceed that amount, and an aggregate cap equal to 10% of the purchase price. Those limits do not apply to fraud, intentional misconduct, title to the Shares, authority, taxes or payment obligations. Neither party may recover the same loss twice. Before Closing, a party may seek damages or equitable relief for breach, or terminate if the other party’s material breach remains uncured for 15 business days after written notice and prevents Closing; termination does not release liability for a prior willful breach. Except for fraud or intentional misconduct, the indemnification provisions are the exclusive monetary remedy after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