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42,000,000 for the Shares, subject only to adjustments expressly agreed in writing by the parties.</w:t>
      </w:r>
    </w:p>
    <w:p>
      <w:r>
        <w:t>2. Diligence and Closing. The Seller shall provide the Buyer reasonable access to information customarily requested for a transaction of this kind, subject to applicable law and confidentiality obligations. The Buyer's obligation to close is subject to completion, within 20 business days after signing, of due diligence reasonably satisfactory to the Buyer, acting in good faith, and to receipt of required approvals and satisfaction or waiver of the other closing conditions expressly set out in this Agreement. Closing shall occur within 30 days after those approvals are received and conditions are satisfied or waived. Each party shall use commercially reasonable efforts to obtain required approvals and satisfy its closing conditions promptly.</w:t>
      </w:r>
    </w:p>
    <w:p>
      <w:r>
        <w:t>3. Seller Representations; Disclosure Schedules; Remedies. Except as fairly disclosed in schedules delivered with this Agreement, the Seller represents as of signing and Closing that: (a) it has authority to enter into and perform this Agreement; (b) it owns the Shares and will transfer them free of liens other than those disclosed in the schedules; (c) the financial statements are accurate in all material respects; (d) the schedules disclose the Company's material liabilities; (e) the Company has filed required material tax returns and paid material taxes due, except as disclosed or contested in good faith; (f) the Company is in material compliance with applicable laws; and (g) since the date of the latest financial statements, no material adverse change has occurred, other than as disclosed. The Seller shall indemnify the Buyer for losses arising from a breach of these representations, subject to customary notice, defense, survival, basket and cap provisions to be agreed by the parties. The parties shall agree the disclosure schedules and those indemnification provisions before signing.</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