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adjusted dollar for dollar at Closing by adding Closing Cash, subtracting Closing Debt, and adding or subtracting the amount by which Closing Working Capital exceeds or falls below an agreed target. The parties shall agree the target, definitions and consistently applied accounting principles in a schedule before signing. The Seller shall deliver an estimated closing statement before Closing; a post-Closing statement, with supporting records and a customary independent-accountant dispute process, shall determine any final true-up.</w:t>
      </w:r>
    </w:p>
    <w:p>
      <w:r>
        <w:t>2. Diligence and Closing. The Seller shall provide reasonable access to Company information for confirmatory due diligence, subject to applicable law and confidentiality obligations. The parties shall work toward Closing within 30 days after signing, subject to required regulatory approvals and satisfaction or waiver of the following conditions: no legal prohibition on Closing; accuracy of the other party’s representations in all material respects; and performance of its pre-Closing covenants in all material respects. The parties shall cooperate promptly on approvals and agree a final Closing date when those conditions are satisfied or waived. Any diligence condition must be expressly agreed before signing and specify its scope and deadline.</w:t>
      </w:r>
    </w:p>
    <w:p>
      <w:r>
        <w:t>3. Representations and Indemnification. Subject to agreed disclosure schedules and customary materiality and knowledge qualifications where appropriate, the Seller shall make representations concerning its authority and title to the Shares and the Company’s organization, capitalization, financial statements, absence of undisclosed material liabilities, material contracts, compliance with law, taxes, employees, intellectual property and material litigation. The Buyer shall represent its authority, ability to fund the purchase price and absence of conflicting obligations. Each party shall indemnify the other for losses arising from a breach of its representations or covenants, subject to agreed survival periods, a deductible and aggregate cap for general Seller claims, customary exclusions from those limitations for fraud and specified fundamental representations, and procedures giving the indemnifying party a reasonable opportunity to defend third-party claims. The financial-statements representation remains: the Seller represents that the financial statements fairly present, in all material respects, the financial position and results of operations of the Company as of the dates and for the periods stated therein.</w:t>
      </w:r>
    </w:p>
    <w:p>
      <w:r>
        <w:t>4. Confidentiality. The terms of this Agreement and nonpublic information exchanged in connection with the transaction are confidential. A party may disclose such information to its representatives, financing sources and prospective financing sources who need to know it and are bound by confidentiality duties, or as required by law, regulation or a competent authority; where legally permitted, it shall give the other party prompt notice of a required disclosure and reasonably cooperate in seeking confidential treatment. This provision does not restrict information that becomes public without breach or was lawfully available to the receiving party without a duty of confidentiality. Neither party shall make a public announcement concerning the transaction without the other’s prior written consent, except as required by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