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At Closing, the Buyer shall pay the Seller USD 38,000,000 in immediately available funds for the Shares.</w:t>
      </w:r>
    </w:p>
    <w:p>
      <w:r>
        <w:t>2. Closing; Conditions and Deliverables. Closing shall occur within 30 days after signing, or on another date agreed in writing. The Buyer’s obligation to close is subject to (a) completion of its due diligence within 20 days after signing, with results reasonably satisfactory to the Buyer, provided the Buyer gives written notice specifying any material objection before that period expires; (b) receipt of approvals required by law for the transaction; and (c) the Seller’s representations being true in all material respects at Closing, except representations expressly made as of an earlier date. At Closing, the Seller shall deliver duly executed share-transfer instruments, certificates or other evidence of ownership of the Shares, any required Seller approvals, and a certificate confirming satisfaction of condition (c). The Buyer shall deliver the purchase price and any required Buyer approvals. Each party shall use reasonable efforts to obtain required approvals promptly.</w:t>
      </w:r>
    </w:p>
    <w:p>
      <w:r>
        <w:t>3. Seller Representations. The Seller represents, as of signing and Closing, that: (a) it has authority to enter into and perform this Agreement, and this Agreement is binding on it; (b) it owns the Shares and will transfer good title to them at Closing, free of liens other than restrictions arising under applicable securities laws; (c) the financial statements provided to the Buyer fairly present, in all material respects, the financial position and results of the business for the periods stated, in accordance with the accounting principles identified in those statements; (d) except as disclosed in writing to the Buyer or reflected or reserved for in those financial statements, the business has no material liabilities other than liabilities incurred in the ordinary course since the date of the latest financial statements; and (e) all material tax returns required in respect of the business have been filed and all material taxes due have been paid, except amounts contested in good faith and adequately reserved for. These representations are subject to the written disclosure schedules delivered before signing.</w:t>
      </w:r>
    </w:p>
    <w:p>
      <w:r>
        <w:t>4. Confidentiality; Indemnification. The terms of this Agreement are confidential, except for disclosures required by law or made to a party’s professional advisers or financing sources subject to confidentiality obligations. After Closing, the Seller shall indemnify the Buyer for direct losses arising from a breach of the Seller’s representations or covenants, and the Buyer shall indemnify the Seller for direct losses arising from a breach of the Buyer’s covenants. A claim for breach of a representation must be notified within 18 months after Closing, except that claims concerning authority, title to the Shares, or taxes may be notified until 60 days after the applicable limitation period expires. The Seller’s aggregate liability for representation claims shall not exceed 10% of the purchase price, other than claims concerning authority or title to the Shares, fraud, or intentional misconduct. No party may recover twice for the same loss, and each party shall take reasonable steps to mitigate its losses.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