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Custom1"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40,000,000 for the Shares at Closing.</w:t>
      </w:r>
    </w:p>
    <w:p>
      <w:r>
        <w:t>2. Closing. Closing shall occur within 30 days after signing, subject to the Buyer completing satisfactory due diligence within 15 business days after signing, receipt of all required regulatory and corporate approvals, and delivery of the share transfer instruments, evidence of authority, and other closing deliverables agreed by the parties. The Buyer shall act reasonably and in good faith in assessing due diligence and shall promptly identify any material concern.</w:t>
      </w:r>
    </w:p>
    <w:p>
      <w:r>
        <w:t>3. Representations and Indemnification. The Seller represents that it has good title to the Shares, free of liens; the financial statements are accurate in all material respects; the Company has no undisclosed material liabilities; the Company has filed required tax returns and paid taxes due, subject to disclosed good-faith disputes; the Company complies in all material respects with applicable law; and no material adverse change has occurred since the date of the latest financial statements, except as disclosed in writing. These representations survive Closing for 18 months, except those concerning title and taxes, which survive until 60 days after the applicable limitation period. The Seller shall indemnify the Buyer for losses arising from a breach, subject to customary limitations to be agreed.</w:t>
      </w:r>
    </w:p>
    <w:p>
      <w:r>
        <w:t>4. Confidentiality. The terms of this Agreement are confidential.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property fmtid="{D5CDD505-2E9C-101B-9397-08002B2CF9AE}" pid="2" name="Seller confidential reservation price">
    <vt:lpwstr xmlns:vt="http://schemas.openxmlformats.org/officeDocument/2006/docPropsVTypes">USD 33,500,000</vt:lpwstr>
  </property>
</Properties>
</file>