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Custom1"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subject to any purchase-price adjustment expressly agreed in writing by the parties before signing.</w:t>
      </w:r>
    </w:p>
    <w:p>
      <w:r>
        <w:t>2. Closing. Closing shall occur within 30 days of signing, subject to satisfaction or waiver of the closing conditions agreed by the parties, including completion of the Buyer's due diligence to the extent expressly provided in this Agreement.</w:t>
      </w:r>
    </w:p>
    <w:p>
      <w:r>
        <w:t>3. Representations; Disclosure Schedules; Indemnification. The Seller shall provide customary financial and operational representations, qualified by disclosure schedules to be agreed by the parties. The parties shall negotiate customary indemnification provisions, including applicable limitations and procedures.</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property fmtid="{D5CDD505-2E9C-101B-9397-08002B2CF9AE}" pid="2" name="Seller reservation price">
    <vt:lpwstr xmlns:vt="http://schemas.openxmlformats.org/officeDocument/2006/docPropsVTypes">USD 23,500,000</vt:lpwstr>
  </property>
</Properties>
</file>