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The parties may discuss the Buyer's proposed USD 38,000,000 price following completion of due diligence; no price adjustment shall be effective unless agreed in writing by both parties.</w:t>
      </w:r>
    </w:p>
    <w:p>
      <w:r>
        <w:t>2. Closing. Closing shall occur on a date agreed by the parties following completion of due diligence and receipt of all required approvals, subject to satisfaction or waiver of the closing conditions set out in the definitive agreement.</w:t>
      </w:r>
    </w:p>
    <w:p>
      <w:r>
        <w:t>3. Representations and Disclosure Schedules. The Seller shall provide customary representations concerning its authority, title to the Shares, the Company's organization, financial statements, material contracts, litigation, compliance with law, and taxes, in each case subject to qualifications and exceptions set out in disclosure schedules to be agreed by the parties.</w:t>
      </w:r>
    </w:p>
    <w:p>
      <w:r>
        <w:t>4. Confidentiality; Conditions and Indemnification. The terms of this Agreement are confidential. The definitive agreement shall include customary closing conditions and indemnification provisions, including negotiated limitations on survival, liability, and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Seller pricing guidance">
    <vt:lpwstr xmlns:vt="http://schemas.openxmlformats.org/officeDocument/2006/docPropsVTypes">Seller's confidential reservation price is USD 36,000,000.</vt:lpwstr>
  </property>
</Properties>
</file>