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Subject to the Buyer’s satisfactory completion of due diligence and the parties’ agreement on definitive terms, the Buyer shall pay the Seller USD 35,000,000 for the Shares.</w:t>
      </w:r>
    </w:p>
    <w:p>
      <w:r>
        <w:t>2. Closing. Closing shall occur within 30 days after satisfaction or waiver of the agreed closing conditions, including required approvals, accuracy of the parties’ representations in all material respects, and performance of their pre-closing covenants in all material respects.</w:t>
      </w:r>
    </w:p>
    <w:p>
      <w:r>
        <w:t>3. Representations, Covenants and Indemnification. The Seller shall provide customary representations and warranties concerning its authority, title to the Shares, and the Company’s financial statements, together with customary pre-closing operating covenants. The Seller shall indemnify the Buyer for losses arising from breaches of its representations, warranties or covenants, subject to negotiated limitations, exclusions and survival periods.</w:t>
      </w:r>
    </w:p>
    <w:p>
      <w:r>
        <w:t>4. Confidentiality. The parties shall keep the terms of this Agreement confidential, except for disclosures to their respective advisers, financing sources and representatives who are bound by confidentiality obligations, disclosures required by law or regulation, and disclosures approved in writing by the other party.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