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 subject to receipt of required governmental and third-party approvals, the accuracy in all material respects of the Seller’s representations at closing, and the Buyer’s completion of due diligence reasonably satisfactory to it, provided that the Buyer acts diligently and in good faith to complete such diligence within 20 days of signing.</w:t>
      </w:r>
    </w:p>
    <w:p>
      <w:r>
        <w:t>3. Representations. The Seller represents that it has good title to the Shares, free of liens other than those disclosed to the Buyer; the financial statements fairly present, in all material respects, the Company’s financial position; and, except as disclosed to the Buyer, the Company has no undisclosed material liabilities, is in material compliance with applicable law, has filed all material tax returns and paid all material taxes due, and is not in material default under any material contract. These representations are subject to customary qualifications and disclosure schedules. The Seller shall indemnify the Buyer for losses arising from a breach of these representations, subject to customary survival periods, a deductible, a cap, and exclusions for losses already reflected in the purchase-price calculation or otherwise recovered.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