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the account designated by the Seller. Payment shall be made without set-off or counterclaim, except for withholding required by applicable law.</w:t>
      </w:r>
    </w:p>
    <w:p>
      <w:r>
        <w:t>2. Closing. Closing shall occur within 30 days of signing, subject to receipt of any mandatory regulatory approvals, or on such other date as the parties agree in writing. At Closing, payment of the Purchase Price and delivery of instruments transferring the Shares shall occur simultaneously. The Buyer's obligation to complete the purchase shall not be subject to obtaining financing.</w:t>
      </w:r>
    </w:p>
    <w:p>
      <w:r>
        <w:t>3. Representations. Except as disclosed in the disclosure schedule delivered by the Seller at signing, the Seller represents that the financial statements delivered to the Buyer fairly present, in all material respects, the financial position and results of operations of the Company as of the dates and for the periods stated therein, in accordance with the accounting principles consistently applied in their preparation, subject, in the case of unaudited statements, to normal year-end adjustments and the absence of notes. The Seller makes no representation or warranty as to forecasts, projections or other forward-looking information.</w:t>
      </w:r>
    </w:p>
    <w:p>
      <w:r>
        <w:t>4. Confidentiality. Each party shall keep the terms of this Agreement and the negotiations relating to it confidential, except for disclosures to its professional advisers and representatives who need to know and are bound by confidentiality obligations, disclosures required by applicable law or regulatory authority, and disclosures approved in writing by the other party. To the extent legally permitted, a party making a required disclosure shall give the other party reasonable advance notice and disclose only what is required. Neither party shall make a public announcement concerning the transaction without the other's prior written consent, except as required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