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base purchase price for the Shares shall be USD 40,000,000, on a cash-free, debt-free basis with normalized working capital. The price shall be increased by Closing cash and decreased by Closing debt and unpaid Company transaction expenses, and adjusted upward or downward by the amount Closing working capital exceeds or falls below an agreed normalized working-capital target. Definitions, the target and an illustrative calculation shall be agreed before signing; no item shall be counted more than once or recovered both through an adjustment and a claim. Accounting policies shall follow the agreed specific policies, then the Company's historical policies consistently applied insofar as consistent with the agreed accounting framework, and then that framework. The Seller shall provide an estimated completion statement at least five Business Days before Closing. At Closing the Buyer shall pay the estimated adjusted price, less an escrow equal to 5% of the base price, to the Seller by wire transfer of immediately available funds and deposit the escrow with an independent escrow agent under an agreed escrow agreement. The Buyer shall deliver completion accounts within 60 days after Closing; otherwise the Seller's estimate shall become final. The Seller shall have 30 days after receipt, with reasonable access to supporting records and personnel, to notify disputed items. Undisputed items shall be final. Unresolved accounting items after a further 20 Business Days shall be referred to an independent accountant jointly appointed by the parties, acting as expert, not arbitrator, limited to the disputed items and the parties' submitted ranges. Its determination shall be binding absent manifest error, with costs allocated in proportion to each party's lack of success. Any balancing payment shall be made within five Business Days after final determination. The escrow shall secure claims under clause 3 and be released 12 months after Closing, less only amounts reasonably necessary for specifically notified, good-faith unresolved claims; reserved amounts shall be released promptly upon resolution. Payments shall be without set-off or counterclaim, except deductions required by law.</w:t>
      </w:r>
    </w:p>
    <w:p>
      <w:r>
        <w:t>2. Closing. The parties shall target Closing 45 days after signing, subject to mandatory regulatory approvals and satisfaction or lawful waiver of agreed closing conditions. Closing shall occur within five Business Days after satisfaction or waiver of those conditions, or on another agreed date. Conditions shall comprise receipt of mandatory approvals, absence of any injunction or law prohibiting Closing, material compliance with pre-Closing covenants, and accuracy of warranties at signing and Closing, except for warranties expressly given as of another date, subject to the agreed disclosures and except for inaccuracies that, taken together, would not have a material adverse effect on the Company; title, authority and capitalization warranties shall be accurate in all material respects. Conditions shall also include delivery of agreed share-transfer documents and releases of security over the Shares and of Company security securing debt being discharged at Closing, against the agreed payoff arrangements. Payment and delivery shall occur simultaneously. The Buyer shall procure committed funding before signing; its obligation to complete shall not be conditional upon financing or further diligence. Each party shall use reasonable endeavors to satisfy conditions, and the Buyer shall promptly pursue required regulatory approvals. Either party may terminate by notice if Closing has not occurred within 90 days after signing, provided its own breach has not materially caused the failure to close. Either party may also terminate for a final, non-appealable prohibition on Closing or the other's material breach preventing satisfaction of a closing condition and not cured within 15 Business Days after notice or, if earlier, the long-stop date. Termination shall not affect accrued rights or the continuing confidentiality obligations.</w:t>
      </w:r>
    </w:p>
    <w:p>
      <w:r>
        <w:t>3. Representations and Remedies. The definitive agreement shall contain the following warranties at signing and repeated at Closing, subject to exceptions fairly disclosed in schedules delivered before signing with sufficient detail to identify their nature and scope. The Seller shall warrant its authority and capacity, due authorization and binding execution of this Agreement, ownership of and ability to transfer the Shares free of encumbrances, and the Company's issued capitalization and absence of undisclosed rights to acquire securities. The Seller shall also give customary, appropriately materiality-qualified warranties concerning financial statements; taxes; material contracts; litigation; compliance with applicable law; employees; ownership or licensed use of material intellectual property; and absence of material liabilities other than those reflected or reserved in the accounts, fairly disclosed, or incurred in the ordinary course since the accounts date. Knowledge qualifications shall apply where appropriate to third-party matters, threatened claims and infringement, with knowledge defined by reference to named Seller personnel after reasonable inquiry. The financial statements shall fairly present, in all material respects, the Company's financial position and results under the accounting framework expressly identified in an agreed accounting schedule before signing, consistently applied, subject for unaudited statements to normal year-end adjustments and absence of notes. The specific tax covenant, warranty wording and disclosure schedules shall be agreed before signing. No representation is made concerning forecasts or projections or their achievement; this disclaimer shall neither limit express factual warranties nor exclude liability for fraud. The Buyer shall provide customary authority, authorization and funding warranties. Seller liability for general warranty claims shall survive for 12 months after Closing, be subject to a USD 25,000 per-claim de minimis and a deductible basket of 1% of the base price, and be capped at 10% of the base price. Title, authority and capitalization claims shall survive for six years and be capped at the purchase price actually received by the Seller. Tax claims and the agreed pre-Closing tax covenant shall survive until 60 days after the relevant statutory limitation period and be capped at 20% of the base price, without the general basket or de minimis. Aggregate Seller liability shall not exceed the purchase price actually received, except for the Seller's own fraud, for which no contractual cap or limitation shall apply. Claims notified before the applicable expiry must identify their factual basis and a reasonable estimate of loss and must be commenced within six months of notification, except contingent claims, for which that period shall run from crystallization. Recovery shall be for actual loss, subject to reasonable mitigation, credit for insurance and third-party recoveries net of reasonable recovery costs, and no double recovery. No recovery shall be available to the extent a matter was fairly disclosed or already reflected in the final price adjustment. The agreement shall include customary third-party claim procedures and prohibit settlement imposing liability or nonmonetary obligations on a party without its consent, not unreasonably withheld. These contractual remedies shall be exclusive, save for fraud, enforcement of payment obligations and equitable relief.</w:t>
      </w:r>
    </w:p>
    <w:p>
      <w:r>
        <w:t>4. Confidentiality. Each party shall keep this Agreement, its terms, the negotiations and nonpublic information received in connection with the transaction confidential. Disclosure is permitted to affiliates, professional advisers, representatives and prospective financing sources and their advisers who need to know for evaluating, financing or implementing the transaction and are bound by confidentiality obligations no less protective than this clause or equivalent professional duties. Each party shall be responsible for breaches by its recipients. Disclosure is also permitted to the extent reasonably necessary to enforce this Agreement, subject to reasonable protective measures, or as required by law or a regulatory authority. To the extent legally permitted, a party making a required disclosure shall give reasonable advance notice, consult on its form and disclose only what is required. No public announcement shall be made without the other's prior written consent, not unreasonably withheld or delayed, except as legally required; the parties shall coordinate any required announcement in advance where legally permitted and practicable. These obligations shall survive termination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