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Completion Accounts. The proposed enterprise value is USD 42,000,000 on a cash-free, debt-free basis with normalized working capital. The equity purchase price shall equal that amount plus Closing cash, less Closing debt and unpaid Company transaction expenses, and plus or minus the amount by which Closing working capital exceeds or falls below an agreed normalized working-capital benchmark. Definitions, accounting policies, an illustrative calculation and the benchmark shall be agreed before signing, using supporting historical monthly financial information and taking account of seasonality and non-recurring items. No item shall be counted more than once, including under debt, cash, transaction expenses, working capital, leakage or indemnification. At Closing, Buyer shall pay the estimated equity purchase price, less the escrow under clause 6, by wire transfer of immediately available funds to Seller's designated account. Buyer shall deliver proposed completion accounts within 60 days after Closing; Seller shall have access to supporting records and 30 days to object. Unresolved accounting disputes shall be referred to an independent accountant acting as expert, limited to disputed items and the parties' respective positions, with costs allocated by relative success. The resulting adjustment shall be paid within five business days after final determination. These commercial terms remain subject to satisfactory pre-signing diligence, agreement on valuation assumptions and definitive documentation.</w:t>
      </w:r>
    </w:p>
    <w:p>
      <w:r>
        <w:t>2. Closing. The parties shall target Closing within 30 days after signing. Diligence and internal investment approvals shall be completed before signing and shall not constitute post-signing financing, diligence or discretionary approval conditions. Closing shall be subject only to expressly agreed conditions, including required regulatory approvals, absence of a legal prohibition, accuracy of fundamental representations in all material respects and of other representations except where inaccuracies would not constitute a Material Adverse Effect, material compliance with interim covenants, and absence of a Material Adverse Effect. Material Adverse Effect shall be narrowly defined before signing, excluding general economic, industry and market changes, changes in law or accounting standards, and effects of announcement of the transaction, except for disproportionate effects on the Company relative to comparable businesses where applicable. Conditions may be waived only by the party entitled to their benefit, to the extent lawful. The parties shall agree an outside date and customary termination rights before signing. Payment and transfer of the Shares shall occur simultaneously at Closing.</w:t>
      </w:r>
    </w:p>
    <w:p>
      <w:r>
        <w:t>3. Representations and Disclosures. The definitive agreement shall contain customary, appropriately scoped Seller representations concerning authority and enforceability, title to and capitalization of the Shares, financial statements, taxes, undisclosed liabilities, material contracts, litigation, compliance with law, employment and intellectual property, as applicable to the Company's business. Financial statements shall be prepared in accordance with the accounting principles identified therein, consistently applied, and fairly present in all material respects the financial position and results for the relevant periods, subject for unaudited statements to normal year-end adjustments and absence of notes. Business representations shall be subject to negotiated materiality, knowledge and temporal limitations. Knowledge shall mean the actual knowledge of agreed named individuals following reasonable inquiry of their direct reports responsible for the relevant matter. Qualifications shall be set out in a disclosure letter delivered at signing, with sufficient detail to identify the nature and scope of each disclosed matter; cross-disclosure shall apply only where relevance is reasonably apparent. A data-room upload alone shall not constitute disclosure. Seller shall provide a draft disclosure letter and available supporting diligence materials before signing, subject to privilege, third-party confidentiality restrictions and appropriate information-sharing safeguards. No representation is made as to forecasts or future performance, and Buyer shall rely only on the express representations in the definitive agreement, without limiting liability for fraud.</w:t>
      </w:r>
    </w:p>
    <w:p>
      <w:r>
        <w:t>6. Indemnification and Escrow. Seller proposes an escrow equal to 5% of the final equity purchase price, funded from Closing proceeds and held by an independent escrow agent. General business representation claims shall survive for 12 months after Closing, with a USD 25,000 per-claim threshold and a deductible basket equal to 0.5% of the final equity purchase price; Seller's aggregate liability for those claims shall be capped at the escrow amount, and the escrow shall be Buyer's exclusive recourse for them. Fundamental representations shall survive for three years, and tax representations until 60 days after expiry of the applicable statutory assessment period, with aggregate Seller liability for these claims capped at the final equity purchase price. Pre-Closing tax indemnification, treatment of covenants and any specifically identified risks shall be expressly agreed before signing, including applicable caps and time limits; no unlimited general indemnity is agreed. Claims must be notified within the applicable survival period with reasonable particulars and an estimate of loss where practicable. Seller shall have reasonable rights to defend third-party claims, subject to protections for Buyer, and neither party shall settle a claim imposing liability or non-monetary obligations on the other without its consent. Recoverable losses shall exclude punitive damages except amounts payable to third parties and shall be reduced by actual insurance recoveries and realized tax benefits, net of reasonable recovery costs. Buyer shall reasonably mitigate loss; there shall be no double recovery. At 12 months, escrow shall be released to Seller except amounts reasonably reserved for timely notified unresolved claims, with reserved amounts released promptly on resolution. Buyer may pursue claims and counterclaims under the agreed procedures, but may set off amounts against sums due to Seller only where liability and amount have been agreed in writing or finally adjudicated, and only consistently with the agreed caps and recourse limitations. Nothing shall exclude liability for fraud by the person committing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